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:alias w:val=""/>
        <w15:appearance w15:val="boundingBox"/>
        <w:id w:val="-1530874265"/>
        <w:lock w:val="unlocked"/>
        <w:placeholder>
          <w:docPart w:val="d9b58b5cd5c0414abc4b64e846eb8b01"/>
        </w:placeholder>
        <w:tag w:val=""/>
        <w:rPr/>
      </w:sdtPr>
      <w:sdtContent>
        <w:p>
          <w:pPr>
            <w:pStyle w:val="666"/>
            <w:jc w:val="center"/>
            <w:spacing w:line="240" w:lineRule="auto"/>
          </w:pPr>
          <w:r>
            <w:rPr>
              <w:rFonts w:ascii="Arial" w:hAnsi="Arial" w:cs="Arial"/>
              <w:sz w:val="22"/>
              <w:szCs w:val="22"/>
            </w:rPr>
            <w:t xml:space="preserve">ДОГОВОР ПОСТАВКИ №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863e25aa2233443abca81ace589e1cd8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_______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</w:r>
          <w:r/>
        </w:p>
        <w:p>
          <w:pPr>
            <w:ind w:right="-143"/>
            <w:jc w:val="center"/>
          </w:pP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bc082c48e1ae44e18f5ec6ceca0f5cca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г. ______________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                                  </w:t>
          </w:r>
          <w:r>
            <w:rPr>
              <w:rFonts w:ascii="Arial" w:hAnsi="Arial" w:cs="Arial"/>
              <w:bCs/>
              <w:sz w:val="22"/>
              <w:szCs w:val="22"/>
              <w:highlight w:val="lightGray"/>
              <w:lang w:val="ru-RU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5b88892a3e4840ff932b177c904dd84b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«___» ______ 20__ г.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ind w:right="-143"/>
            <w:jc w:val="center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30"/>
            <w:ind w:firstLine="540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Общество с ограниченной ответственностью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«Хоккейный клуб «Авангард»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именуем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ое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в дальнейшем «Покупатель», в лице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cd705d943a94a30a3532458ce36ad0f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_____________________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, действующ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c532d81dbed4f609f4f656e5fe9d7be"/>
              </w:placeholder>
              <w:tag w:val=""/>
              <w:rPr>
                <w:rFonts w:ascii="Arial" w:hAnsi="Arial" w:cs="Arial"/>
                <w:bCs/>
                <w:sz w:val="22"/>
                <w:szCs w:val="22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__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 на основании 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05bc94d368b646598d6e438daaae1d81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___________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 с одной стороны, и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01e4cf0cce5e45eaaffaa6febbb81349"/>
              </w:placeholder>
              <w:tag w:val=""/>
              <w:rPr>
                <w:rFonts w:ascii="Arial" w:hAnsi="Arial" w:cs="Arial"/>
                <w:bCs/>
                <w:sz w:val="22"/>
                <w:szCs w:val="22"/>
              </w:rPr>
            </w:sdtPr>
            <w:sdtContent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021b3736c4a2461d95d4fb6148bf5cd8"/>
                  </w:placeholder>
                  <w:tag w:val=""/>
                  <w:rPr>
                    <w:rFonts w:ascii="Arial" w:hAnsi="Arial" w:cs="Arial"/>
                    <w:b/>
                    <w:sz w:val="22"/>
                    <w:szCs w:val="22"/>
                    <w:highlight w:val="lightGray"/>
                  </w:rPr>
                </w:sdtPr>
                <w:sdtContent>
                  <w:r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t xml:space="preserve">________________________________________________</w:t>
                  </w:r>
                </w:sdtContent>
              </w:sdt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, именуемое в дальнейшем «Поставщик», в лице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35215e23e43b4009b4b374f074b91243"/>
                  </w:placeholder>
                  <w:tag w:val="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</w:sdtPr>
                <w:sdtContent>
                  <w:r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 xml:space="preserve">________________________ ___________________________</w:t>
                  </w:r>
                </w:sdtContent>
              </w:sdt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, действующего на основании </w:t>
              </w:r>
              <w:sdt>
                <w:sdtPr>
                  <w:alias w:val=""/>
                  <w15:appearance w15:val="boundingBox"/>
                  <w:label w:val="0"/>
                  <w:lock w:val="unlocked"/>
                  <w:placeholder>
                    <w:docPart w:val="7a6d500eaa6746988ec1a2315ba1f204"/>
                  </w:placeholder>
                  <w:tag w:val=""/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</w:rPr>
                </w:sdtPr>
                <w:sdtContent>
                  <w:r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</w:rPr>
                    <w:t xml:space="preserve">_____________________________________</w:t>
                  </w:r>
                </w:sdtContent>
              </w:sdt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, с другой стороны, именуемые в дальнейшем совместно «Стороны», а по отдельности - «Сторона», заключили настоящий договор о нижеследующем: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ind w:right="-143" w:firstLine="567"/>
            <w:jc w:val="center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0"/>
              <w:numId w:val="1"/>
            </w:num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ПРЕДМЕТ ДОГОВОРА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авщик обязуется поставить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бутилированную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воду и пластиковые стаканчики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(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далее – «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») по наименованию, в количестве и в сроки согласно условиям настоящего Договора, а Покупатель обязуется принять и оплатить поставленн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ый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установленном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настоящим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Договором порядке и размере.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Наименование, ассортимент, количество, комплектность, цена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сроки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условия и порядок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поставки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форма расчетов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 иные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условия согласованы Сторонами 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Спецификациях, являющихся приложениями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 настоящему Договору (далее – </w:t>
          </w: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Приложение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)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 форме Приложения № 1 к Договору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ind w:left="567" w:right="-143"/>
            <w:jc w:val="both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0"/>
              <w:numId w:val="1"/>
            </w:num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КОЛИЧЕСТВО, КАЧЕСТВО И КОМПЛЕКТНОСТЬ 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Поставляемый по Приложению Товар по своему качеству и комплектности должен соответствовать государственным стандартам (ГОСТ), техническим условиям (ТУ)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или другой нормативно-технической документацией применительно к каждому из видов Товара (его частей) и удостоверяться оригиналом сертификата качества (паспортом качества) и/или надлежаще заверенной копией сертификата (декларацией) соответствия (сертификато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м соответствия российским стандартам на комплектующие к Товару импортного производства, техническим паспортом) если предусмотрено, утвержденной технической документацией или указано в требованиях к Товару в соответствии с Приложением к настоящему 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обязан передать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Покупателю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без дополнительной оплаты относящиеся к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документы, в том числе, технические условия, инструкции по эксплуатации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(применению), ремонту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 хранению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паспорта, техническую документацию, по которой изготавливается не стандартизированное оборудование и изделия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и иную необходимую документацию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/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Гарантийный срок на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при его наличии для данного вида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устанавливается в технической документации на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или в ином документе, передаваемом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Покупателю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 В л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юбом случае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статочный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срок годности на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Т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овар, указанный в Приложении,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не может составлять менее 4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bbce9a2f66564964972f52c7ffa68b23"/>
              </w:placeholder>
              <w:tag w:val=""/>
              <w:rPr>
                <w:rFonts w:ascii="Arial" w:hAnsi="Arial" w:cs="Arial"/>
                <w:bCs/>
                <w:vanish/>
                <w:sz w:val="22"/>
                <w:szCs w:val="22"/>
                <w:lang w:val="ru-RU"/>
                <w14:ligatures w14:val="none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(четырех)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месяцев</w:t>
              </w:r>
            </w:sdtContent>
          </w:sdt>
          <w:r>
            <w:rPr>
              <w:rFonts w:ascii="Arial" w:hAnsi="Arial" w:cs="Arial"/>
              <w:sz w:val="22"/>
              <w:szCs w:val="22"/>
              <w:lang w:val="ru-RU"/>
            </w:rPr>
            <w:t xml:space="preserve"> с даты производства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Срок годности, при ег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 наличии для данного вида Товара, определяется действующими стандартами и техническими условиями на Товар.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обязан за свой счет устранить дефекты, выявленные в течение гарантийного срока или заменить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и/или 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комплектующие без каких-либо затрат со стороны Покупателя, если не докажет, что дефекты возникли в результате нарушения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правил эксплуатации и/или условий хранения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и/или 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комплектующих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должным образом сообщенных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Покупателю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Поставщиком. При этом гарантийный срок продлевается на то время, в течение которого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либо 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комплектующие не использовались из-за обнаруженных дефектов.</w:t>
          </w:r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Если Поставщик не устранит дефекты Товара и/или не произведет замену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ae114b62fb134ded83db120e1a2ac5ee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в течение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2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(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двух)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календарных дней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даты направления ему Покупателем соответствующего уведомления, По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купатель будет вправе устранить эти дефекты за счет Поставщика без какого-либо ущерба в отношении своих прав по гарантиям, а Поставщик обязан возместить все расходы Покупателя на проведение ремонтных работ, а также все иные расходы Покупателя, связанные с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проведением указанных ремонтных работ, в течение </w:t>
          </w:r>
          <w:r>
            <w:rPr>
              <w:rFonts w:ascii="Arial" w:hAnsi="Arial" w:cs="Arial"/>
              <w:bCs/>
              <w:iCs/>
              <w:sz w:val="22"/>
              <w:szCs w:val="22"/>
              <w:lang w:val="ru-RU"/>
            </w:rPr>
            <w:t xml:space="preserve">30 (тридцати) календарных дней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даты направления ему Покупателем уведомления об этом.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обязуется поставить Товар новым, не бывшим в эксплуатации, пригодным к эксплуатации в соответствии со своим назначением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bookmarkEnd w:id="0"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случае обнаружения брака или пересорта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овара, замена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овара осуществляется силами и за счет средств Поставщика в срок, не превышающий 2 (два) календарных дня с момента извещения Покупателем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/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гарантирует, что поставляемый Товар свободен от любых прав третьих лиц, не заложен, под запретом или арестом не состоит.</w:t>
          </w:r>
          <w:bookmarkEnd w:id="0"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случае,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если предусмотрено соответствующим Приложением, Товар должен поставляться комплектом.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ind w:left="567" w:right="-143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0"/>
              <w:numId w:val="1"/>
            </w:num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ТАРА, УПАКОВКА И МАРКИРОВКА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предъявляемый к перевозке, должен быть подготовлен с учетом требований стандартов на груз 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ГОСТов.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Размещение и крепление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 перевозке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осуществляются в соответствии с действующими на транспорте требованиями технических условий размещения и крепления грузов.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несет все расходы, связанные с транспортировкой, перегрузкой и хранением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а также другие расходы, возникшие вследствие отправки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 неверному адресу из-за неправильной и/или несоответствующей маркировки.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Поставщик несет все расходы, возникшие из-за утраты и/или повреждения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вследствие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ненадлежащей упаковки, а также ненадлежащего размещения и крепления груза в транспортных средствах.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contextualSpacing/>
            <w:ind w:left="0" w:right="-143" w:firstLine="567"/>
            <w:jc w:val="both"/>
            <w:spacing w:before="0" w:after="0" w:line="276" w:lineRule="auto"/>
            <w:suppressLineNumbers w:val="0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Дополнительные требования к упаковке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 маркировке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могут устанавливаться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Договоре,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Прилож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ен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ях к нему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contextualSpacing w:val="0"/>
            <w:ind w:left="567" w:right="-143" w:firstLine="0"/>
            <w:jc w:val="both"/>
            <w:spacing w:before="0" w:after="0" w:line="240" w:lineRule="auto"/>
            <w:rPr>
              <w:rFonts w:ascii="Arial" w:hAnsi="Arial" w:cs="Arial"/>
              <w:sz w:val="22"/>
              <w:szCs w:val="22"/>
            </w:rPr>
            <w:suppressLineNumbers w:val="0"/>
          </w:pPr>
          <w:r>
            <w:rPr>
              <w:rFonts w:ascii="Arial" w:hAnsi="Arial" w:cs="Arial"/>
              <w:bCs/>
              <w:sz w:val="22"/>
              <w:szCs w:val="22"/>
              <w:highlight w:val="none"/>
              <w:lang w:val="ru-RU"/>
            </w:rPr>
          </w:r>
          <w:r>
            <w:rPr>
              <w:rFonts w:ascii="Arial" w:hAnsi="Arial" w:cs="Arial"/>
              <w:sz w:val="22"/>
              <w:szCs w:val="22"/>
            </w:rPr>
          </w:r>
          <w:r/>
        </w:p>
        <w:p>
          <w:pPr>
            <w:pStyle w:val="828"/>
            <w:numPr>
              <w:ilvl w:val="0"/>
              <w:numId w:val="1"/>
            </w:num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ЦЕНА И ПОРЯДОК РАСЧЕТОВ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/>
          <w:bookmarkStart w:id="0" w:name="undefined"/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Покупатель производит оплату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по ценам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и на условиях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, указанным в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Приложении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, на основании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документов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f0bb9c1811a443ff9bd388aeeee01bfd"/>
              </w:placeholder>
              <w:tag w:val="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color w:val="000000"/>
                  <w:sz w:val="22"/>
                  <w:szCs w:val="22"/>
                  <w:highlight w:val="lightGray"/>
                  <w:lang w:val="ru-RU"/>
                </w:rPr>
                <w:t xml:space="preserve">(</w:t>
              </w:r>
              <w:r>
                <w:rPr>
                  <w:rFonts w:ascii="Arial" w:hAnsi="Arial" w:cs="Arial"/>
                  <w:color w:val="000000"/>
                  <w:sz w:val="22"/>
                  <w:szCs w:val="22"/>
                  <w:highlight w:val="lightGray"/>
                  <w:lang w:val="ru-RU"/>
                </w:rPr>
                <w:t xml:space="preserve">счета/</w:t>
              </w:r>
              <w:r>
                <w:rPr>
                  <w:rFonts w:ascii="Arial" w:hAnsi="Arial" w:cs="Arial"/>
                  <w:color w:val="000000"/>
                  <w:sz w:val="22"/>
                  <w:szCs w:val="22"/>
                  <w:highlight w:val="lightGray"/>
                  <w:lang w:val="ru-RU"/>
                </w:rPr>
                <w:t xml:space="preserve">счета-фактуры</w:t>
              </w:r>
              <w:r>
                <w:rPr>
                  <w:rFonts w:ascii="Arial" w:hAnsi="Arial" w:cs="Arial"/>
                  <w:color w:val="000000"/>
                  <w:sz w:val="22"/>
                  <w:szCs w:val="22"/>
                  <w:highlight w:val="lightGray"/>
                  <w:lang w:val="ru-RU"/>
                </w:rPr>
                <w:t xml:space="preserve">/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товарной накладной (ТОРГ-12)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/УПД)</w:t>
              </w:r>
            </w:sdtContent>
          </w:sdt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, выставленных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Поставщиком.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Поставщик направляет оригиналы документов заказным письмом с уведомлением о вручении по адресу, указанному в реквизитах настоящего Договора, либо передает его Покупателю в месте поставки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.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Датой поступления 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документов</w:t>
          </w:r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является дата входящей регистрации Покупателя.</w:t>
          </w:r>
          <w:bookmarkEnd w:id="0"/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sdt>
          <w:sdtPr>
            <w15:appearance w15:val="boundingBox"/>
            <w:id w:val="613950879"/>
            <w:placeholder>
              <w:docPart w:val="f94db8aed3584d3aa92812a0d9bc2ef7"/>
            </w:placeholder>
            <w:rPr/>
          </w:sdtPr>
          <w:sdtContent>
            <w:p>
              <w:pPr>
                <w:pStyle w:val="828"/>
                <w:numPr>
                  <w:ilvl w:val="1"/>
                  <w:numId w:val="1"/>
                </w:numPr>
                <w:ind w:left="0" w:right="-143" w:firstLine="567"/>
                <w:jc w:val="both"/>
                <w:spacing w:line="276" w:lineRule="auto"/>
              </w:pP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Оплата Товара производится после получения Покупателем партии Товара в полном объеме в пункте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назначения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в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течение 10 (Десяти) банковских дней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с даты подписания Покупателем товарной накладной (ТОРГ-12) и при условии получения Покупателем документов на Товар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,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если иное не предусмотрено в Приложении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.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  <w:r/>
            </w:p>
            <w:p>
              <w:pPr>
                <w:ind w:right="-143" w:firstLine="567"/>
                <w:jc w:val="both"/>
                <w:spacing w:line="276" w:lineRule="auto"/>
              </w:pP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Под партией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Товара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 понимается все позиции 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Товара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, указанные в спецификации Приложения, поставляемые к одному определенному сроку или в один определенный период времени.</w:t>
              </w: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r>
              <w:r/>
            </w:p>
          </w:sdtContent>
        </w:sdt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Обязательство Покупателя по оплате считается исполненным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момента списания денежных средств с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расчетного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счета Покупателя.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Цена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если иного не предусмотрено в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Приложении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включает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в себя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транспортные расходы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за доставку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до пункта назначения, а также стоимость тары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упаковки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и маркировки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и любые иные расходы, которые могут возникнуть у Поставщика до передачи Товара Покупателю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sdt>
          <w:sdtPr>
            <w15:appearance w15:val="boundingBox"/>
            <w:id w:val="-1183208732"/>
            <w:placeholder>
              <w:docPart w:val="f69a7e2c875f48188ca47732070901a9"/>
            </w:placeholder>
            <w:rPr/>
          </w:sdtPr>
          <w:sdtContent>
            <w:p>
              <w:pPr>
                <w:pStyle w:val="831"/>
                <w:numPr>
                  <w:ilvl w:val="1"/>
                  <w:numId w:val="1"/>
                </w:numPr>
                <w:ind w:left="0" w:firstLine="567"/>
                <w:spacing w:line="276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Общая стоимость Договора не может превышать денежную сумму в размере _________________.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</w:r>
              <w:r/>
            </w:p>
          </w:sdtContent>
        </w:sdt>
        <w:sdt>
          <w:sdtPr>
            <w15:appearance w15:val="boundingBox"/>
            <w:id w:val="1136838495"/>
            <w:placeholder>
              <w:docPart w:val="b73bb74003c34368a1bde2d93e66d9ae"/>
            </w:placeholder>
            <w:rPr/>
          </w:sdtPr>
          <w:sdtContent>
            <w:p>
              <w:pPr>
                <w:pStyle w:val="831"/>
                <w:numPr>
                  <w:ilvl w:val="1"/>
                  <w:numId w:val="1"/>
                </w:numPr>
                <w:ind w:left="0" w:firstLine="567"/>
                <w:spacing w:line="276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В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се расчеты Сторон по настоящему Договору производятся в рублях Российской Федерации. В случае если цена Товара, указанная в Приложении, выражена в иностранной валюте или условных единицах, приравненных к иностранной валюте, то оплата производится по курсу 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Центрального Банка России на дату списания денежных средств с расчетного счета Покупателя, если иное не предусмотрено Приложением к Договору.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</w:r>
              <w:r/>
            </w:p>
          </w:sdtContent>
        </w:sdt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По требованию Покупателя и в установленный им срок Стороны обязаны 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производить сверку исполнения обязательств и взаиморасчетов с составлением соответствующего акта сверки.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Если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  <w:t xml:space="preserve">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обязательствам, Стороны вправе произвести зачет встречных однородных требований в порядке ст. 410 ГК РФ.</w:t>
          </w:r>
          <w:r>
            <w:rPr>
              <w:rFonts w:ascii="Arial" w:hAnsi="Arial" w:cs="Arial"/>
              <w:bCs/>
              <w:color w:val="000000"/>
              <w:sz w:val="22"/>
              <w:szCs w:val="22"/>
              <w:lang w:val="ru-RU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Стороны договорились об исключении действия п.5 ст.488 ГК РФ для Товара, переданного</w:t>
          </w:r>
          <w:r>
            <w:rPr>
              <w:rFonts w:ascii="Arial" w:hAnsi="Arial" w:cs="Arial"/>
              <w:sz w:val="22"/>
              <w:szCs w:val="22"/>
            </w:rPr>
            <w:t xml:space="preserve"> по Договору. Права Покупателя по распоряжению Товаром после его передачи Покупателю не ограничены. Товар не считается находящимся в залоге.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ind w:right="-143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0"/>
              <w:numId w:val="1"/>
            </w:num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УСЛОВИЯ И СРОКИ ПОСТАВКИ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Поставка </w:t>
          </w:r>
          <w:r>
            <w:rPr>
              <w:rFonts w:ascii="Arial" w:hAnsi="Arial" w:cs="Arial"/>
              <w:sz w:val="22"/>
              <w:szCs w:val="22"/>
            </w:rPr>
            <w:t xml:space="preserve">Товара</w:t>
          </w:r>
          <w:r>
            <w:rPr>
              <w:rFonts w:ascii="Arial" w:hAnsi="Arial" w:cs="Arial"/>
              <w:sz w:val="22"/>
              <w:szCs w:val="22"/>
            </w:rPr>
            <w:t xml:space="preserve"> осуществляется путем е</w:t>
          </w:r>
          <w:r>
            <w:rPr>
              <w:rFonts w:ascii="Arial" w:hAnsi="Arial" w:cs="Arial"/>
              <w:sz w:val="22"/>
              <w:szCs w:val="22"/>
            </w:rPr>
            <w:t xml:space="preserve">го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доставки</w:t>
          </w:r>
          <w:r>
            <w:rPr>
              <w:rFonts w:ascii="Arial" w:hAnsi="Arial" w:cs="Arial"/>
              <w:sz w:val="22"/>
              <w:szCs w:val="22"/>
            </w:rPr>
            <w:t xml:space="preserve"> в адрес </w:t>
          </w:r>
          <w:r>
            <w:rPr>
              <w:rFonts w:ascii="Arial" w:hAnsi="Arial" w:cs="Arial"/>
              <w:sz w:val="22"/>
              <w:szCs w:val="22"/>
            </w:rPr>
            <w:t xml:space="preserve">Покупателя,</w:t>
          </w:r>
          <w:r>
            <w:rPr>
              <w:rFonts w:ascii="Arial" w:hAnsi="Arial" w:cs="Arial"/>
              <w:sz w:val="22"/>
              <w:szCs w:val="22"/>
            </w:rPr>
            <w:t xml:space="preserve"> указанн</w:t>
          </w:r>
          <w:r>
            <w:rPr>
              <w:rFonts w:ascii="Arial" w:hAnsi="Arial" w:cs="Arial"/>
              <w:sz w:val="22"/>
              <w:szCs w:val="22"/>
            </w:rPr>
            <w:t xml:space="preserve">ый</w:t>
          </w:r>
          <w:r>
            <w:rPr>
              <w:rFonts w:ascii="Arial" w:hAnsi="Arial" w:cs="Arial"/>
              <w:sz w:val="22"/>
              <w:szCs w:val="22"/>
            </w:rPr>
            <w:t xml:space="preserve"> в </w:t>
          </w:r>
          <w:r>
            <w:rPr>
              <w:rFonts w:ascii="Arial" w:hAnsi="Arial" w:cs="Arial"/>
              <w:sz w:val="22"/>
              <w:szCs w:val="22"/>
            </w:rPr>
            <w:t xml:space="preserve">Приложении</w:t>
          </w:r>
          <w:r>
            <w:rPr>
              <w:rFonts w:ascii="Arial" w:hAnsi="Arial" w:cs="Arial"/>
              <w:sz w:val="22"/>
              <w:szCs w:val="22"/>
            </w:rPr>
            <w:t xml:space="preserve">.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Обязательство Постав</w:t>
          </w:r>
          <w:r>
            <w:rPr>
              <w:rFonts w:ascii="Arial" w:hAnsi="Arial" w:cs="Arial"/>
              <w:sz w:val="22"/>
              <w:szCs w:val="22"/>
            </w:rPr>
            <w:t xml:space="preserve">щика по поставке (передаче) Товара Покупателю считается исполненным с момента передачи Товара в комплекте (если Товар поставляется в комплекте) либо передачи всей партии Товара Покупателю в пункте назначения, указанном в реквизитах Покупателя в Приложении.</w:t>
          </w:r>
          <w:r>
            <w:rPr>
              <w:rFonts w:ascii="Arial" w:hAnsi="Arial" w:cs="Arial"/>
              <w:sz w:val="22"/>
              <w:szCs w:val="22"/>
            </w:rPr>
          </w:r>
          <w:r/>
        </w:p>
        <w:p>
          <w:pPr>
            <w:pStyle w:val="831"/>
            <w:ind w:firstLine="567"/>
            <w:spacing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03073ff566b64768bca738434a2d318e"/>
              </w:placeholder>
              <w:tag w:val=""/>
              <w:rPr>
                <w:rFonts w:ascii="Arial" w:hAnsi="Arial" w:cs="Arial"/>
                <w:sz w:val="22"/>
                <w:szCs w:val="22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транспортного (товарно-транспортного) документа и/или товарной накладной ТО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РГ-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12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/УПД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.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</w:r>
          <w:r/>
        </w:p>
        <w:p>
          <w:pPr>
            <w:pStyle w:val="831"/>
            <w:ind w:firstLine="567"/>
            <w:spacing w:line="276" w:lineRule="auto"/>
          </w:pPr>
          <w:r>
            <w:rPr>
              <w:rFonts w:ascii="Arial" w:hAnsi="Arial" w:cs="Arial"/>
              <w:sz w:val="22"/>
              <w:szCs w:val="22"/>
            </w:rPr>
            <w:t xml:space="preserve">Право собственности на </w:t>
          </w:r>
          <w:r>
            <w:rPr>
              <w:rFonts w:ascii="Arial" w:hAnsi="Arial" w:cs="Arial"/>
              <w:sz w:val="22"/>
              <w:szCs w:val="22"/>
            </w:rPr>
            <w:t xml:space="preserve">Товар</w:t>
          </w:r>
          <w:r>
            <w:rPr>
              <w:rFonts w:ascii="Arial" w:hAnsi="Arial" w:cs="Arial"/>
              <w:sz w:val="22"/>
              <w:szCs w:val="22"/>
            </w:rPr>
            <w:t xml:space="preserve"> и все риски утраты или порчи (повреждения) </w:t>
          </w:r>
          <w:r>
            <w:rPr>
              <w:rFonts w:ascii="Arial" w:hAnsi="Arial" w:cs="Arial"/>
              <w:sz w:val="22"/>
              <w:szCs w:val="22"/>
            </w:rPr>
            <w:t xml:space="preserve">Товара</w:t>
          </w:r>
          <w:r>
            <w:rPr>
              <w:rFonts w:ascii="Arial" w:hAnsi="Arial" w:cs="Arial"/>
              <w:sz w:val="22"/>
              <w:szCs w:val="22"/>
            </w:rPr>
            <w:t xml:space="preserve"> переходят от Поставщика к </w:t>
          </w:r>
          <w:r>
            <w:rPr>
              <w:rFonts w:ascii="Arial" w:hAnsi="Arial" w:cs="Arial"/>
              <w:sz w:val="22"/>
              <w:szCs w:val="22"/>
            </w:rPr>
            <w:t xml:space="preserve">Покупателю </w:t>
          </w:r>
          <w:r>
            <w:rPr>
              <w:rFonts w:ascii="Arial" w:hAnsi="Arial" w:cs="Arial"/>
              <w:sz w:val="22"/>
              <w:szCs w:val="22"/>
            </w:rPr>
            <w:t xml:space="preserve">с</w:t>
          </w:r>
          <w:r>
            <w:rPr>
              <w:rFonts w:ascii="Arial" w:hAnsi="Arial" w:cs="Arial"/>
              <w:sz w:val="22"/>
              <w:szCs w:val="22"/>
            </w:rPr>
            <w:t xml:space="preserve"> даты поставки </w:t>
          </w:r>
          <w:r>
            <w:rPr>
              <w:rFonts w:ascii="Arial" w:hAnsi="Arial" w:cs="Arial"/>
              <w:sz w:val="22"/>
              <w:szCs w:val="22"/>
            </w:rPr>
            <w:t xml:space="preserve">Товара</w:t>
          </w:r>
          <w:r>
            <w:rPr>
              <w:rFonts w:ascii="Arial" w:hAnsi="Arial" w:cs="Arial"/>
              <w:sz w:val="22"/>
              <w:szCs w:val="22"/>
            </w:rPr>
            <w:t xml:space="preserve">. Поставщик обязан уведомить </w:t>
          </w:r>
          <w:r>
            <w:rPr>
              <w:rFonts w:ascii="Arial" w:hAnsi="Arial" w:cs="Arial"/>
              <w:sz w:val="22"/>
              <w:szCs w:val="22"/>
            </w:rPr>
            <w:t xml:space="preserve">Покупателя о</w:t>
          </w:r>
          <w:r>
            <w:rPr>
              <w:rFonts w:ascii="Arial" w:hAnsi="Arial" w:cs="Arial"/>
              <w:sz w:val="22"/>
              <w:szCs w:val="22"/>
            </w:rPr>
            <w:t xml:space="preserve"> готовности передать </w:t>
          </w:r>
          <w:r>
            <w:rPr>
              <w:rFonts w:ascii="Arial" w:hAnsi="Arial" w:cs="Arial"/>
              <w:sz w:val="22"/>
              <w:szCs w:val="22"/>
            </w:rPr>
            <w:t xml:space="preserve">партию </w:t>
          </w:r>
          <w:r>
            <w:rPr>
              <w:rFonts w:ascii="Arial" w:hAnsi="Arial" w:cs="Arial"/>
              <w:sz w:val="22"/>
              <w:szCs w:val="22"/>
            </w:rPr>
            <w:t xml:space="preserve">Товар</w:t>
          </w:r>
          <w:r>
            <w:rPr>
              <w:rFonts w:ascii="Arial" w:hAnsi="Arial" w:cs="Arial"/>
              <w:sz w:val="22"/>
              <w:szCs w:val="22"/>
            </w:rPr>
            <w:t xml:space="preserve">а за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e5ac08be7ec24c0facb344070ef0540f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/по умолчанию/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 5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 (Пять)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</w:rPr>
                <w:t xml:space="preserve"> календарных дней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 до начала </w:t>
          </w:r>
          <w:r>
            <w:rPr>
              <w:rFonts w:ascii="Arial" w:hAnsi="Arial" w:cs="Arial"/>
              <w:sz w:val="22"/>
              <w:szCs w:val="22"/>
            </w:rPr>
            <w:t xml:space="preserve">поставки.</w:t>
          </w:r>
          <w:r>
            <w:rPr>
              <w:rFonts w:ascii="Arial" w:hAnsi="Arial" w:cs="Arial"/>
              <w:sz w:val="22"/>
              <w:szCs w:val="22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В случае нарушения Поставщиком условия о сроке поставки более чем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768381b3ad93446a96121af21b6bcd15"/>
              </w:placeholder>
              <w:tag w:val=""/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/по умолчанию/</w:t>
              </w:r>
              <w:r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 xml:space="preserve"> на 15 (Пятнадцать) календарных дней</w:t>
              </w:r>
            </w:sdtContent>
          </w:sdt>
          <w:r>
            <w:rPr>
              <w:rFonts w:ascii="Arial" w:hAnsi="Arial" w:cs="Arial"/>
              <w:sz w:val="22"/>
              <w:szCs w:val="22"/>
              <w:lang w:val="ru-RU"/>
            </w:rPr>
            <w:t xml:space="preserve">, Покупатель вправе отказаться от приемки и оплаты просроченного поставкой Товара без объяснения каких-либо причин и возмещения Поставщику каких-либо расходов/убытков и расторгнуть Договор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в одностороннем порядке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. </w:t>
          </w:r>
          <w:r>
            <w:rPr>
              <w:rFonts w:ascii="Arial" w:hAnsi="Arial" w:cs="Arial"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contextualSpacing/>
            <w:ind w:left="0" w:right="-143" w:firstLine="567"/>
            <w:jc w:val="both"/>
            <w:spacing w:before="0" w:after="0" w:line="276" w:lineRule="auto"/>
            <w:suppressLineNumbers w:val="0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Дополнительные требования к условиям поставки (в случае необходимости) указываются в П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рил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ожении.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contextualSpacing w:val="0"/>
            <w:ind w:right="-143" w:firstLine="567"/>
            <w:jc w:val="both"/>
            <w:spacing w:before="0" w:after="0" w:line="276" w:lineRule="auto"/>
            <w:suppressLineNumbers w:val="0"/>
          </w:pPr>
          <w:r>
            <w:rPr>
              <w:rFonts w:ascii="Arial" w:hAnsi="Arial" w:cs="Arial"/>
              <w:b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bCs/>
              <w:sz w:val="22"/>
              <w:szCs w:val="22"/>
            </w:rPr>
          </w:r>
          <w:r/>
        </w:p>
        <w:p>
          <w:pPr>
            <w:pStyle w:val="828"/>
            <w:numPr>
              <w:ilvl w:val="0"/>
              <w:numId w:val="1"/>
            </w:num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ПОРЯДОК ПРИЕМКИ 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 ПО КОЛИЧЕСТВУ И КАЧЕСТВУ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Приемка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осуществляется путем проверки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на соответствие сведениям, указанным в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d073409c86743f8adde06e6c35747fc"/>
              </w:placeholder>
              <w:tag w:val=""/>
              <w:rPr>
                <w:rFonts w:ascii="Arial" w:hAnsi="Arial" w:cs="Arial"/>
                <w:bCs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товарно-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транспортных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(то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варо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сопроводительных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)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документах в соответствии с действующим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законодательством РФ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sz w:val="22"/>
              <w:szCs w:val="22"/>
              <w:lang w:val="ru-RU"/>
            </w:rPr>
            <w:t xml:space="preserve">П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риемка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Товара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по количеству, 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качеству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и комплектности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производится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 адресу поставки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представител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Покупателя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и возможна без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участия представителя Поставщика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если иного не предусмотрено Приложением.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85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Несоответствие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 качеству,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количеству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 комплекту оформляется Актом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который должен содержать: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наименование получателя, составившего Акт, и наименование Поставщика, адреса сторон;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дата и номер Акта, место приемки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составления Акта,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дата 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время начала и окончания приемки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Ф.И.О., наименование должност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ей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организаций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лиц, участвующих в приемке;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номер и дата Договора 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Приложения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дата и номер транспортной накладной;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случае обнаружения недостачи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– точное количество недостающе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стоимость, каким способом определено количество недостающе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заключение о причинах образования недостачи;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при обнаружении некомплектности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– количество некомплектно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 перечень недостающих частей, узлов и деталей, при выявлении дефектов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– заключение о характере выявленных дефектов и причина их возникновения;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другие данные, которые, по мнению представителей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участвующих в приемке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должны быть указаны в Акте;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Акт составляется и подписывается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день приемки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всеми лицами, участв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ующими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приемке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а также представителем Поставщика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случае его прибытия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2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Акт о скрытых недостатках, которые не установлены при приемке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составляется по мере их обнаружения, в том числе в период эксплуатации (использования)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Товара,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при наличии гарантийного срока – в пределах такого срока.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Указанный акт является подтверждением факта несоответствия качества и/или количества и/или комплектности Товара условиям настоящего Договора и Приложений к нему. Акт должен быть направлен Поставщику в течение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c7f4957948734a21bf2d28f8c752bebd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/по умолчанию/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7 (Семи) календарных дней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после его оформления.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том случае, если одна из Сторон отказывается подписать Акт, в Акте делается соответствующая запись, и он считается надлежаще составленным.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случае несоответствия качества и/или комплектности и/или количества и/или упаковки Товара условиям Договора и Приложений к нему, подтвержденного Актом о выявленных недостатках Товара, указанного в п.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6.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3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настоящего Договора, Поставщик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d66a192ecefa46f4a95038ef208f738b"/>
              </w:placeholder>
              <w:tag w:val=""/>
              <w:rPr>
                <w:rFonts w:ascii="Arial" w:hAnsi="Arial" w:cs="Arial"/>
                <w:bCs/>
                <w:sz w:val="22"/>
                <w:szCs w:val="22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в течение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14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(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четырнадцати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) календарных дней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с момента получения Акта о выявленных недостатках обязан произвести замену Товара на качественный и/или допоставить и/или доукомплектовать Товар и/или осуществить упаковку Товара в соответствии с требованиями Договора и/или Приложений к нему.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Все расходы, связанные с возвратом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е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го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заменой, допоставкой и доукомплектов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анием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в том числе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все транспортные расходы 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расходы на хранение, оплачиваются Поставщиком.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0"/>
              <w:numId w:val="1"/>
            </w:num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ОТВЕТСТВЕННОСТЬ СТОРОН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32"/>
            <w:numPr>
              <w:ilvl w:val="1"/>
              <w:numId w:val="1"/>
            </w:numPr>
            <w:ind w:left="0" w:right="-141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В случае просрочки поставки (недопоставки, непоставки) Товара, устранени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я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дефектов, замене и доукомлектации Товара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Покупатель вправе потребовать от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Поставщик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а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уплаты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пени в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размере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b74a873fc4c14a5686ae216ae820a848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/по умолчанию/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0,1%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</w:rPr>
            <w:t xml:space="preserve"> общей цены Товара, за каждый календарный день просрочки. 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 случае просрочки оплаты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Товара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Поставщик вправе потребовать от Покупателя уплаты пени в размере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07f597a630924df6aa2dbce533574e89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/по умолчанию/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0,1%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общей цены Товара, за каждый календарный день просрочки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но в любом случае не более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7e04b553d9bf4736a1e7d694416b2502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/по умолчанию/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5 %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Если при приемке Товара Покупателем будет обнаружено и зафиксировано, надлежащим образом, что Товар поставлен с нарушением требований по качеству и/или комплектности,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Покупатель вправе потребовать от Поставщика уплаты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штраф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в размере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85d0f4d5fdf94429b8f8d8803a7210b4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/по умолчанию/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10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%</w:t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общей цены Товара, а также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возмещения всех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понесенны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х Покупателем убытков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Оплата штрафа не исключает требования Покупателя о замене некачественного товара товаром надлежащего качества; требования о полной комплектации товара.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/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Уплата пени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штрафа</w:t>
          </w:r>
          <w:r>
            <w:rPr>
              <w:rFonts w:ascii="Arial" w:hAnsi="Arial" w:cs="Arial"/>
              <w:sz w:val="22"/>
              <w:szCs w:val="22"/>
              <w:lang w:val="ru-RU"/>
            </w:rPr>
            <w:t xml:space="preserve"> и/или возмещение убытков/расходов не освобождает Стороны от исполнения своих обязательств по настоящему Договору.</w:t>
          </w:r>
          <w:bookmarkEnd w:id="0"/>
          <w:r>
            <w:rPr>
              <w:rFonts w:ascii="Arial" w:hAnsi="Arial" w:cs="Arial"/>
              <w:sz w:val="22"/>
              <w:szCs w:val="22"/>
              <w:lang w:val="ru-RU"/>
            </w:rPr>
          </w:r>
          <w:r/>
        </w:p>
        <w:sdt>
          <w:sdtPr>
            <w15:appearance w15:val="boundingBox"/>
            <w:id w:val="-639729392"/>
            <w:placeholder>
              <w:docPart w:val="6db40a02345e45acabfe799beda7bec0"/>
            </w:placeholder>
            <w:rPr/>
          </w:sdtPr>
          <w:sdtContent>
            <w:p>
              <w:pPr>
                <w:pStyle w:val="828"/>
                <w:numPr>
                  <w:ilvl w:val="1"/>
                  <w:numId w:val="1"/>
                </w:numPr>
                <w:ind w:left="0" w:right="-143" w:firstLine="567"/>
                <w:jc w:val="both"/>
                <w:spacing w:line="276" w:lineRule="auto"/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В части, неурегулированной настоящим Договором, Стороны несут ответственность в соответствии с действующим законодательством Российской Федерации.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/>
            </w:p>
            <w:p>
              <w:pPr>
                <w:pStyle w:val="828"/>
                <w:ind w:left="567" w:right="-143"/>
                <w:jc w:val="both"/>
                <w:spacing w:line="276" w:lineRule="auto"/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/>
            </w:p>
            <w:p>
              <w:pPr>
                <w:pStyle w:val="828"/>
                <w:ind w:left="567" w:right="-143"/>
                <w:jc w:val="both"/>
                <w:spacing w:line="276" w:lineRule="auto"/>
              </w:pPr>
              <w:r>
                <w:rPr>
                  <w:rFonts w:ascii="Arial" w:hAnsi="Arial" w:cs="Arial"/>
                  <w:i/>
                  <w:iCs/>
                  <w:sz w:val="22"/>
                  <w:szCs w:val="22"/>
                  <w:highlight w:val="lightGray"/>
                  <w:lang w:val="ru-RU"/>
                </w:rPr>
                <w:t xml:space="preserve">/раздел применяется при поставке товаров, подлежащих обязательной маркировке/</w:t>
              </w:r>
              <w:r>
                <w:rPr>
                  <w:rFonts w:ascii="Arial" w:hAnsi="Arial" w:cs="Arial"/>
                  <w:i/>
                  <w:iCs/>
                  <w:sz w:val="22"/>
                  <w:szCs w:val="22"/>
                  <w:lang w:val="ru-RU"/>
                </w:rPr>
              </w:r>
              <w:r/>
            </w:p>
            <w:p>
              <w:pPr>
                <w:pStyle w:val="828"/>
                <w:numPr>
                  <w:ilvl w:val="0"/>
                  <w:numId w:val="1"/>
                </w:numPr>
                <w:ind w:left="360" w:right="-143"/>
                <w:jc w:val="center"/>
                <w:spacing w:line="276" w:lineRule="auto"/>
              </w:pP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 xml:space="preserve">МАРКИРОВКА ТОВАРА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</w:r>
              <w:r/>
            </w:p>
            <w:p>
              <w:pPr>
                <w:pStyle w:val="828"/>
                <w:numPr>
                  <w:ilvl w:val="1"/>
                  <w:numId w:val="1"/>
                </w:numPr>
                <w:ind w:left="0" w:right="-191" w:firstLine="567"/>
                <w:jc w:val="both"/>
                <w:spacing w:line="276" w:lineRule="auto"/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В рамках исполнения обязательств по настоящему Договору стороны также руководствуются законодательством РФ о маркировке.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  <w:r/>
            </w:p>
            <w:p>
              <w:pPr>
                <w:pStyle w:val="828"/>
                <w:numPr>
                  <w:ilvl w:val="1"/>
                  <w:numId w:val="1"/>
                </w:numPr>
                <w:ind w:left="0" w:right="-191" w:firstLine="567"/>
                <w:jc w:val="both"/>
                <w:spacing w:line="276" w:lineRule="auto"/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Поставщик в соответствии с законодательством РФ о маркировке обязуется осуществить маркировку товаров средствами идентификац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ии и представить сведения в Информационную систему маркировки и прослеживаемости самостоятельно. При этом Покупатель не осуществляет никаких действий в системе маркировки и прослеживаемости Товара, все действия с данной системой осуществляются Поставщиком.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  <w:r/>
            </w:p>
            <w:p>
              <w:pPr>
                <w:pStyle w:val="828"/>
                <w:numPr>
                  <w:ilvl w:val="1"/>
                  <w:numId w:val="1"/>
                </w:numPr>
                <w:ind w:left="0" w:right="-191" w:firstLine="567"/>
                <w:jc w:val="both"/>
                <w:spacing w:line="276" w:lineRule="auto"/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Поставщик формирует уведомление в Информационную систему маркировки и прослеживаемости в соответствии с требованиями, установленными законодательством РФ о маркировке.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  <w:r/>
            </w:p>
            <w:p>
              <w:pPr>
                <w:pStyle w:val="828"/>
                <w:numPr>
                  <w:ilvl w:val="1"/>
                  <w:numId w:val="1"/>
                </w:numPr>
                <w:ind w:left="0" w:right="-191" w:firstLine="567"/>
                <w:jc w:val="both"/>
                <w:spacing w:line="276" w:lineRule="auto"/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Уведомление о передаче права собственности должно содержать сведения о переданном (принятом) товаре, установленные законодательством РФ о маркировке.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  <w:r/>
            </w:p>
            <w:p>
              <w:pPr>
                <w:pStyle w:val="828"/>
                <w:numPr>
                  <w:ilvl w:val="1"/>
                  <w:numId w:val="1"/>
                </w:numPr>
                <w:ind w:left="0" w:right="-191" w:firstLine="567"/>
                <w:jc w:val="both"/>
                <w:spacing w:line="276" w:lineRule="auto"/>
                <w:rPr>
                  <w:rFonts w:ascii="Arial" w:hAnsi="Arial" w:cs="Arial"/>
                  <w:bCs/>
                  <w:i/>
                  <w:lang w:val="ru-RU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Покупатель подписывает документ подтверждающий переход права собственности от Поставщика к Покупателю. Поставщик на основании подтвержденного покупателем документа, подтверждающего переход права собственности, обязуется предоставить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 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в Информационную систему марк</w:t>
              </w:r>
              <w:r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ировки и прослеживаемости сведения о выводе кодов маркировки из оборота. Операция вывода товара из оборота оформляется посредством подачи Поставщиком сведений, установленных законодательством РФ о маркировке, в систему маркировки и прослеживаемости Товара.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</w:r>
              <w:r/>
            </w:p>
          </w:sdtContent>
        </w:sdt>
        <w:p>
          <w:pPr>
            <w:pStyle w:val="828"/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0"/>
              <w:numId w:val="1"/>
            </w:num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ОБСТОЯТЕЛЬСТВА НЕПРЕОДОЛИМОЙ СИЛЫ (ФОРС-МАЖОР)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/>
          <w:bookmarkStart w:id="0" w:name="undefined"/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(форс-мажор), которые ни одна из Сторон была не в состоянии предвидеть и/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или предотвратить разумными мерами, и которые повлияли на исполнение Сторонами своих обязательств по настоящему 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33"/>
            <w:numPr>
              <w:ilvl w:val="1"/>
              <w:numId w:val="1"/>
            </w:numPr>
            <w:ind w:left="0" w:firstLine="567"/>
            <w:jc w:val="both"/>
            <w:spacing w:before="0" w:beforeAutospacing="0" w:after="0" w:afterAutospacing="0" w:line="276" w:lineRule="auto"/>
            <w:shd w:val="clear" w:color="auto" w:fill="ffffff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в том числе, но, не ограничиваясь,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эпидемии, пандемии,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землетрясения, наводнения, ураганы и другие стихийные бедствия, войны, военные действия, пожары, аварии, постановления или распоряжения органов государственной власти и управления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в том числе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принимаемые органами государственной власти и местного самоуправления меры по ограничению распространения новой коронавирусной инфекции (</w:t>
          </w:r>
          <w:r>
            <w:rPr>
              <w:rFonts w:ascii="Arial" w:hAnsi="Arial" w:cs="Arial"/>
              <w:sz w:val="22"/>
              <w:szCs w:val="22"/>
              <w:lang w:val="en-US"/>
            </w:rPr>
            <w:t xml:space="preserve">COVID</w:t>
          </w:r>
          <w:r>
            <w:rPr>
              <w:rFonts w:ascii="Arial" w:hAnsi="Arial" w:cs="Arial"/>
              <w:sz w:val="22"/>
              <w:szCs w:val="22"/>
            </w:rPr>
            <w:t xml:space="preserve">-19), а также временные правила поведения при введении режима повышенной готовности или чрезвычайной ситуа</w:t>
          </w:r>
          <w:r>
            <w:rPr>
              <w:rFonts w:ascii="Arial" w:hAnsi="Arial" w:cs="Arial"/>
              <w:sz w:val="22"/>
              <w:szCs w:val="22"/>
            </w:rPr>
            <w:t xml:space="preserve">ции, к которым относятся, в частности: запрет на передвижение транспортных средств, ограничение передвижения физических лиц, приостановление деятельности предприятий и учреждений, отмена и перенос массовых мероприятий, введение режима самоизоляции граждан.</w:t>
          </w:r>
          <w:r>
            <w:rPr>
              <w:rFonts w:ascii="Arial" w:hAnsi="Arial" w:cs="Arial"/>
              <w:sz w:val="22"/>
              <w:szCs w:val="22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Сторона, которая не в состоянии выполнить свои обязательства по настоящему Договору в силу возникновения обстоятельств непреодолимой силы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обязана в течение 3 (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рех)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настоящему 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Не извещение и/или несвоевременное извещение другой Стороны согласно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222a584ae6e441f9ab802f858f324034"/>
              </w:placeholder>
              <w:tag w:val=""/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 xml:space="preserve">п. 9.3</w:t>
              </w:r>
              <w:r>
                <w:rPr>
                  <w:rFonts w:ascii="Arial" w:hAnsi="Arial" w:cs="Arial"/>
                  <w:bCs/>
                  <w:i/>
                  <w:iCs/>
                  <w:sz w:val="22"/>
                  <w:szCs w:val="22"/>
                  <w:highlight w:val="lightGray"/>
                  <w:lang w:val="ru-RU"/>
                </w:rPr>
              </w:r>
            </w:sdtContent>
          </w:sdt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настоящего Договора влечет за собой утрату Стороной права ссылаться на эти обстоятельства.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Подтверждением наличия и продолжительности действ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Поставщика, и/или Покупателя, и/или места возникновения/существования обстоятельств непреодолимой силы.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Если подобные обстоятельства продлятся более 30 (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ридцати) дней, то любая из Сторон вправе расторгнуть настоящий Договор в одностороннем порядке, известив об этом дру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гую Сторону не менее чем за 5 (П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ять) дней до даты предполагаемого расторжения. В случае такого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расторжения Договора ни одна из Сторон не вправе требовать от другой Стороны возмещения связанных с этим убытков/расходов.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Неисполнение обязател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ьств, связанных с поставкой Товара, вызванное действием Санкций, не рассматривается Сторонами в качестве обстоятельства непреодолимой силы (форс-мажора) и считается недопустимым односторонним отказом Поставщика от исполнения своих обязательств по Договору.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30"/>
            <w:ind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Под санкциями стороны понимают официальный з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аконодательный акт органа государственной власти страны (объединения стран) одной из Сторон Договора либо их контрагентов (за пределами РФ), прямо или косвенно ограничивающий либо запрещающий исполнение одной Стороной своих обязательств в рамках Договора. 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0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Поставщик обязан предварительно согласовать с Покупателем логистику доставки Товара до пункта назначения, если в соответствии с условиями договора, доставка товара является обязанностью Поставщика. В случае несогласования логистики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доставки с Покупателем риски не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исполнения доставки в срок,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форс-мажора и полностью относятся на Поставщика.</w:t>
          </w:r>
          <w:bookmarkEnd w:id="0"/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0"/>
            <w:ind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28"/>
            <w:numPr>
              <w:ilvl w:val="0"/>
              <w:numId w:val="1"/>
            </w:num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РАЗРЕШЕНИЕ СПОРОВ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Стороны будут стремиться решить все спорные вопросы, возникшие при заключении, исполнении, изменении и расторжении настоящего Договора, путем переговоров. Сторона, имеющая претензию к другой Стор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оне, связанную с неисполнением или ненадлежащим исполнением другой стороной своих обязанностей, предусмотренных Договором, до обращения в Арбитражный суд должна направить другой стороне письменное требование (претензию) об устранении выявленных нарушений.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Доарбитражный (претензионный) порядок разрешения споров обязателен.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Претензия рассматривается (полностью или частично удовлетворяется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или отклоняется) в течение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1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0 (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десят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и) календарных дней со дня ее получения.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1"/>
              <w:numId w:val="1"/>
            </w:numPr>
            <w:ind w:left="0"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Все споры, разногласия или требования, возникающие из настоящего Договора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или в связи с ним, в том числе касающиеся его исполнения, нарушения, прекращения или недействительности, в случае невозможности решения путем переговоров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подлежат разрешению в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Арбитражном суде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Омской области</w:t>
          </w:r>
          <w:r>
            <w:rPr>
              <w:rFonts w:ascii="Arial" w:hAnsi="Arial" w:cs="Arial"/>
              <w:bCs/>
              <w:i/>
              <w:sz w:val="22"/>
              <w:szCs w:val="22"/>
              <w:lang w:val="ru-RU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ind w:right="-143" w:firstLine="567"/>
            <w:jc w:val="both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pStyle w:val="828"/>
            <w:numPr>
              <w:ilvl w:val="0"/>
              <w:numId w:val="1"/>
            </w:numPr>
            <w:ind w:right="-143"/>
            <w:jc w:val="center"/>
            <w:spacing w:line="276" w:lineRule="auto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ПРОЧИЕ УСЛОВИЯ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  <w:tabs>
              <w:tab w:val="clear" w:pos="-2127" w:leader="none"/>
            </w:tabs>
            <w:rPr>
              <w:rFonts w:ascii="Arial" w:hAnsi="Arial" w:cs="Arial"/>
              <w14:ligatures w14:val="none"/>
            </w:rPr>
          </w:pPr>
          <w:r>
            <w:rPr>
              <w:rFonts w:ascii="Arial" w:hAnsi="Arial" w:cs="Arial"/>
              <w:bCs/>
              <w:sz w:val="22"/>
              <w:szCs w:val="22"/>
            </w:rPr>
            <w:t xml:space="preserve">Настоящий Договор вступает в силу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с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даты его заключения (подписания) надлежащим образом уполномоченными представителями об</w:t>
          </w:r>
          <w:r>
            <w:rPr>
              <w:rFonts w:ascii="Arial" w:hAnsi="Arial" w:cs="Arial"/>
              <w:sz w:val="22"/>
              <w:szCs w:val="22"/>
            </w:rPr>
            <w:t xml:space="preserve">еих Сторон и действует до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b54255ea30f24cc69e0be9f77de2a5b8"/>
              </w:placeholder>
              <w:tag w:val=""/>
              <w:rPr>
                <w:rFonts w:ascii="Arial" w:hAnsi="Arial" w:cs="Arial"/>
                <w:bCs/>
                <w:vanish/>
                <w:sz w:val="22"/>
                <w:szCs w:val="22"/>
                <w14:ligatures w14:val="none"/>
              </w:rPr>
            </w:sdtPr>
            <w:sdtContent>
              <w:r>
                <w:rPr>
                  <w:rFonts w:ascii="Arial" w:hAnsi="Arial" w:cs="Arial"/>
                  <w:sz w:val="22"/>
                  <w:szCs w:val="22"/>
                </w:rPr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__________, а в части взаиморасчетов – до полного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ис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полнения Стор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онами о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бя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зате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л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ьс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тв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по настоящему До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гово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ру</w:t>
              </w:r>
              <w:r>
                <w:rPr>
                  <w:rFonts w:ascii="Arial" w:hAnsi="Arial" w:cs="Arial"/>
                  <w:sz w:val="22"/>
                  <w:szCs w:val="22"/>
                </w:rPr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.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  <w:tabs>
              <w:tab w:val="clear" w:pos="-2127" w:leader="none"/>
            </w:tabs>
          </w:pPr>
          <w:r>
            <w:rPr>
              <w:rFonts w:ascii="Arial" w:hAnsi="Arial" w:cs="Arial"/>
              <w:sz w:val="22"/>
              <w:szCs w:val="22"/>
            </w:rPr>
            <w:t xml:space="preserve">Настоящий Д</w:t>
          </w:r>
          <w:r>
            <w:rPr>
              <w:rFonts w:ascii="Arial" w:hAnsi="Arial" w:cs="Arial"/>
              <w:sz w:val="22"/>
              <w:szCs w:val="22"/>
            </w:rPr>
            <w:t xml:space="preserve">оговор может быть расторгнут по соглашению Сто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рон, а также по иным основаниям, предусмотренным действующим законодательством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РФ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настоящим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Договором. Расторжение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настоящего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Договора влечет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прекращение действия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всех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Приложений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к настоящему Договору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заключенных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(подписанных)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между Поставщиком и Покупателем.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Все изменения, дополнения 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риложения к настоящему Договору должны быть совершены в письменной форме и подписаны надлежащим образом уполномоченными представителями обеих Сторон. Все изменения,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риложения и дополнения, составленные в надлежащей форме и в соответствии с условиями настоящего Договора, являются его составной и неотъемлемой частью.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Покупатель вправе в любое время расторгнуть настоящий договор или Приложение к нему в одностороннем порядке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путем уведомления об этом Поставщика за пять календарных дней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Стороны не предполагают обмен конфиденциальной информацией в рамках настоящего Договора. В случае возникновения необходимости передачи в рамках настоящего Договора конфиденциальной информации Стороны обязуются заключить С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оглашение о конфиденциальности.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Документы по настоящему Договору и/или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Приложению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полученные одной Стороной от другой посредством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электронной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связи, имеют полную юридическую силу, что не освобождает Стороны от передачи в дальнейшем в кратчайшие сроки оригиналов таких документов.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Сторона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направившая документ с п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омощью электронной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связи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обязана немедленно в течение 2 (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вух) рабочих дней направить другой стороне оригинал документа по почте заказным письмом с уведомлением о вручении. При неполучении оригинала документа стороны не вправе ссылаться на его копию, направленную с помощью электронных средств связи.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Риск искажения информации при ее передаче посредством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электронной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 связи несет Сторона, передающая такую информацию.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С момента подписания настоящего Договора вся предыдущая переписка и все предшествующие переговоры Сторон по нему теряют юридическую силу.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В случае если одно или несколько положений настоящего Договора станут или будут признаны недействительными, то это не затрагивает действительности всех остальных положений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настоящего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Договора и всего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настоящего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Договора в целом.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В части, неурегулированной настоящим Договором, отношения Сторон регулируются законодательством Российской Федерации.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Стороны гарантируют,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В случае несоответствия между положениями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настоящего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Договора и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Приложения к настоящему Договору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, преимущественную силу имеют положения 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Приложения к настоящему Договору</w:t>
          </w:r>
          <w:r>
            <w:rPr>
              <w:rFonts w:ascii="Arial" w:hAnsi="Arial" w:cs="Arial"/>
              <w:bCs/>
              <w:sz w:val="22"/>
              <w:szCs w:val="22"/>
            </w:rPr>
            <w:t xml:space="preserve">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p>
          <w:pPr>
            <w:pStyle w:val="831"/>
            <w:numPr>
              <w:ilvl w:val="1"/>
              <w:numId w:val="1"/>
            </w:numPr>
            <w:ind w:left="0" w:firstLine="567"/>
            <w:spacing w:line="276" w:lineRule="auto"/>
          </w:pPr>
          <w:r>
            <w:rPr>
              <w:rFonts w:ascii="Arial" w:hAnsi="Arial" w:cs="Arial"/>
              <w:bCs/>
              <w:sz w:val="22"/>
              <w:szCs w:val="22"/>
            </w:rPr>
            <w:t xml:space="preserve">Настоящий Договор составлен в двух экземплярах, по одному для каждой из Сторон, оба экземпляра имеют равную юридическую силу.</w:t>
          </w:r>
          <w:r>
            <w:rPr>
              <w:rFonts w:ascii="Arial" w:hAnsi="Arial" w:cs="Arial"/>
              <w:bCs/>
              <w:sz w:val="22"/>
              <w:szCs w:val="22"/>
            </w:rPr>
          </w:r>
          <w:r/>
        </w:p>
        <w:sdt>
          <w:sdtPr>
            <w15:appearance w15:val="boundingBox"/>
            <w:id w:val="-924725360"/>
            <w:placeholder>
              <w:docPart w:val="3add3dd2674947de9a2d45e1cd305b59"/>
            </w:placeholder>
            <w:rPr/>
          </w:sdtPr>
          <w:sdtContent>
            <w:p>
              <w:pPr>
                <w:pStyle w:val="831"/>
                <w:numPr>
                  <w:ilvl w:val="1"/>
                  <w:numId w:val="1"/>
                </w:numPr>
                <w:ind w:left="0" w:firstLine="567"/>
                <w:spacing w:line="276" w:lineRule="auto"/>
                <w:tabs>
                  <w:tab w:val="clear" w:pos="-2127" w:leader="none"/>
                  <w:tab w:val="left" w:pos="-1985" w:leader="none"/>
                </w:tabs>
              </w:pPr>
              <w:r>
                <w:rPr>
                  <w:rFonts w:ascii="Arial" w:hAnsi="Arial" w:cs="Arial"/>
                  <w:bCs/>
                  <w:sz w:val="22"/>
                  <w:szCs w:val="22"/>
                </w:rPr>
                <w:t xml:space="preserve">Приложения:</w:t>
              </w:r>
              <w:r>
                <w:rPr>
                  <w:rFonts w:ascii="Arial" w:hAnsi="Arial" w:cs="Arial"/>
                  <w:bCs/>
                  <w:sz w:val="22"/>
                  <w:szCs w:val="22"/>
                </w:rPr>
              </w:r>
              <w:r/>
            </w:p>
            <w:p>
              <w:pPr>
                <w:pStyle w:val="831"/>
                <w:numPr>
                  <w:ilvl w:val="0"/>
                  <w:numId w:val="2"/>
                </w:numPr>
                <w:ind w:left="1418"/>
                <w:jc w:val="left"/>
                <w:spacing w:line="276" w:lineRule="auto"/>
                <w:tabs>
                  <w:tab w:val="clear" w:pos="-2127" w:leader="none"/>
                  <w:tab w:val="left" w:pos="-1985" w:leader="none"/>
                </w:tabs>
              </w:pP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Прилож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ени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е № 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1 Форма С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пецификаци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и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 Т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  <w:t xml:space="preserve">овара</w:t>
              </w:r>
              <w:r>
                <w:rPr>
                  <w:rFonts w:ascii="Arial" w:hAnsi="Arial" w:cs="Arial"/>
                  <w:bCs/>
                  <w:sz w:val="22"/>
                  <w:szCs w:val="22"/>
                  <w:highlight w:val="lightGray"/>
                </w:rPr>
              </w:r>
              <w:r/>
            </w:p>
          </w:sdtContent>
        </w:sdt>
        <w:p>
          <w:pPr>
            <w:pStyle w:val="828"/>
            <w:numPr>
              <w:ilvl w:val="0"/>
              <w:numId w:val="1"/>
            </w:numPr>
            <w:ind w:right="-143"/>
            <w:jc w:val="center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АДРЕСА И РЕКВИЗИТЫ СТОРОН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tbl>
          <w:tblPr>
            <w:tblW w:w="9639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820"/>
            <w:gridCol w:w="4819"/>
          </w:tblGrid>
          <w:tr>
            <w:trPr/>
            <w:tc>
              <w:tcPr>
                <w:tcW w:w="4820" w:type="dxa"/>
                <w:textDirection w:val="lrTb"/>
                <w:noWrap w:val="false"/>
              </w:tcPr>
              <w:p>
                <w:pPr>
                  <w:ind w:right="-143"/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  <w:t xml:space="preserve">ПОКУПАТЕЛЬ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r>
                <w:r/>
              </w:p>
              <w:p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  <w:t xml:space="preserve">ООО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«ХК «Авангард»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</w:r>
                <w:r/>
              </w:p>
              <w:p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Адрес юридический: 644010, г. Омск, ул. Куйбышева, 132, корп. 3, пом. 89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/>
              </w:p>
              <w:p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Адрес почтовый: 644010, г. Омск, ул. Куйбышева, 132, корп. 3, пом. 89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/>
              </w:p>
              <w:p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тел: (3812) 66-79-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6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9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/>
              </w:p>
              <w:p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ИНН/КПП 5503258076/550301001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/>
              </w:p>
              <w:p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ОГРН 1225500005675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/>
              </w:p>
              <w:p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Р/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сч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: 40702810300000061795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/>
              </w:p>
              <w:p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БАНК ГПБ (АО) г. Москва 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/>
              </w:p>
              <w:p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БИК 044525823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/>
              </w:p>
              <w:p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К/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сч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: 30101810200000000823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</w:r>
                <w:r/>
              </w:p>
              <w:p>
                <w:pPr>
                  <w:ind w:right="-143"/>
                  <w:rPr>
                    <w:rFonts w:ascii="Arial" w:hAnsi="Arial" w:cs="Arial"/>
                    <w:b/>
                    <w:highlight w:val="lightGray"/>
                    <w:lang w:val="ru-RU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e-mail</w:t>
                </w:r>
                <w:r>
                  <w:rPr>
                    <w:rFonts w:ascii="Arial" w:hAnsi="Arial" w:cs="Arial"/>
                    <w:sz w:val="22"/>
                    <w:szCs w:val="22"/>
                    <w:lang w:val="ru-RU"/>
                  </w:rPr>
                  <w:t xml:space="preserve">: doc@hc-avangard.com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/>
              </w:p>
            </w:tc>
            <w:tc>
              <w:tcPr>
                <w:tcW w:w="4819" w:type="dxa"/>
                <w:textDirection w:val="lrTb"/>
                <w:noWrap w:val="false"/>
              </w:tcPr>
              <w:p>
                <w:pPr>
                  <w:ind w:right="-143"/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  <w:t xml:space="preserve">ПОСТАВЩИК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ru-RU"/>
                  </w:rPr>
                </w:r>
                <w:r/>
              </w:p>
              <w:p>
                <w:pPr>
                  <w:rPr>
                    <w:rFonts w:ascii="Arial" w:hAnsi="Arial" w:cs="Arial"/>
                    <w:b/>
                    <w:highlight w:val="lightGray"/>
                    <w:lang w:val="ru-RU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  <w:t xml:space="preserve">____________________________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/>
              </w:p>
            </w:tc>
          </w:tr>
        </w:tbl>
        <w:p>
          <w:pPr>
            <w:ind w:right="-143"/>
            <w:jc w:val="center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ПОДПИСИ СТОРОН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: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tbl>
          <w:tblPr>
            <w:tblW w:w="9639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820"/>
            <w:gridCol w:w="4819"/>
          </w:tblGrid>
          <w:tr>
            <w:trPr>
              <w:trHeight w:val="1136"/>
            </w:trPr>
            <w:tc>
              <w:tcPr>
                <w:tcW w:w="4820" w:type="dxa"/>
                <w:textDirection w:val="lrTb"/>
                <w:noWrap w:val="false"/>
              </w:tcPr>
              <w:p>
                <w:pPr>
                  <w:ind w:right="-143" w:firstLine="567"/>
                  <w:jc w:val="both"/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ru-RU"/>
                  </w:rPr>
                  <w:t xml:space="preserve">От ПОКУПАТЕЛЯ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</w:r>
                <w:r/>
              </w:p>
              <w:p>
                <w:pPr>
                  <w:ind w:right="-143" w:firstLine="567"/>
                  <w:jc w:val="right"/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/>
              </w:p>
              <w:p>
                <w:pPr>
                  <w:ind w:right="-143" w:firstLine="567"/>
                  <w:jc w:val="right"/>
                  <w:rPr>
                    <w:rFonts w:ascii="Arial" w:hAnsi="Arial" w:cs="Arial"/>
                    <w:highlight w:val="lightGray"/>
                    <w:lang w:val="ru-RU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/>
              </w:p>
              <w:sdt>
                <w:sdtPr>
                  <w15:appearance w15:val="boundingBox"/>
                  <w:id w:val="1704745453"/>
                  <w:placeholder>
                    <w:docPart w:val="bb900ee67a8f4e028da459a3ed23b957"/>
                  </w:placeholder>
                  <w:rPr/>
                </w:sdtPr>
                <w:sdtContent>
                  <w:p>
                    <w:pPr>
                      <w:ind w:right="-143" w:firstLine="567"/>
                      <w:jc w:val="both"/>
                      <w:rPr>
                        <w:rFonts w:ascii="Arial" w:hAnsi="Arial" w:cs="Arial"/>
                        <w:highlight w:val="lightGray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  <w:lang w:val="ru-RU"/>
                      </w:rPr>
                      <w:t xml:space="preserve">____________ /__________/</w:t>
                    </w: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  <w:lang w:val="en-US"/>
                      </w:rPr>
                    </w:r>
                    <w:r/>
                  </w:p>
                </w:sdtContent>
              </w:sdt>
            </w:tc>
            <w:tc>
              <w:tcPr>
                <w:tcW w:w="4819" w:type="dxa"/>
                <w:textDirection w:val="lrTb"/>
                <w:noWrap w:val="false"/>
              </w:tcPr>
              <w:p>
                <w:pPr>
                  <w:pStyle w:val="660"/>
                  <w:ind w:right="-143" w:firstLine="567"/>
                  <w:spacing w:line="240" w:lineRule="auto"/>
                </w:pPr>
                <w:r>
                  <w:rPr>
                    <w:rFonts w:ascii="Arial" w:hAnsi="Arial" w:cs="Arial"/>
                    <w:b w:val="0"/>
                    <w:bCs/>
                    <w:sz w:val="22"/>
                    <w:szCs w:val="22"/>
                  </w:rPr>
                  <w:t xml:space="preserve">От ПОСТАВЩИКА</w:t>
                </w:r>
                <w:r>
                  <w:rPr>
                    <w:rFonts w:ascii="Arial" w:hAnsi="Arial" w:cs="Arial"/>
                    <w:b w:val="0"/>
                    <w:bCs/>
                    <w:sz w:val="22"/>
                    <w:szCs w:val="22"/>
                  </w:rPr>
                </w:r>
                <w:r/>
              </w:p>
              <w:p>
                <w:pPr>
                  <w:ind w:right="-143" w:firstLine="567"/>
                  <w:jc w:val="right"/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/>
              </w:p>
              <w:p>
                <w:pPr>
                  <w:ind w:right="-143" w:firstLine="567"/>
                  <w:jc w:val="right"/>
                  <w:rPr>
                    <w:rFonts w:ascii="Arial" w:hAnsi="Arial" w:cs="Arial"/>
                    <w:b w:val="0"/>
                    <w:bCs w:val="0"/>
                    <w:highlight w:val="lightGray"/>
                    <w:lang w:val="ru-RU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</w:r>
                <w:r/>
              </w:p>
              <w:sdt>
                <w:sdtPr>
                  <w15:appearance w15:val="boundingBox"/>
                  <w:id w:val="-964118749"/>
                  <w:placeholder>
                    <w:docPart w:val="1509ee7f8da04b6f9a0d41fd6b6ae5a7"/>
                  </w:placeholder>
                  <w:rPr/>
                </w:sdtPr>
                <w:sdtContent>
                  <w:p>
                    <w:pPr>
                      <w:ind w:right="-143" w:firstLine="567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highlight w:val="lightGray"/>
                        <w:lang w:val="ru-RU"/>
                      </w:rPr>
                      <w:t xml:space="preserve">__________ /___________/</w:t>
                    </w:r>
                    <w:r>
                      <w:rPr>
                        <w:rFonts w:ascii="Arial" w:hAnsi="Arial" w:cs="Arial"/>
                        <w:bCs/>
                        <w:sz w:val="22"/>
                        <w:szCs w:val="22"/>
                        <w:lang w:val="en-US"/>
                      </w:rPr>
                    </w:r>
                    <w:r/>
                  </w:p>
                </w:sdtContent>
              </w:sdt>
            </w:tc>
          </w:tr>
        </w:tbl>
        <w:p>
          <w:pPr>
            <w:ind w:right="-143"/>
            <w:jc w:val="both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           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М.П.                                                                        М.П.</w:t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  <w:p>
          <w:pPr>
            <w:jc w:val="right"/>
            <w:tabs>
              <w:tab w:val="left" w:pos="387" w:leader="none"/>
              <w:tab w:val="left" w:pos="3402" w:leader="none"/>
            </w:tabs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  <w:tab/>
          </w:r>
          <w:r>
            <w:rPr>
              <w:rFonts w:ascii="Arial" w:hAnsi="Arial" w:cs="Arial"/>
              <w:b/>
              <w:lang w:val="ru-RU"/>
            </w:rPr>
            <w:t xml:space="preserve">Приложение №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79b7f2e7a5504b12b7ba48a96c5bae0d"/>
              </w:placeholder>
              <w:tag w:val=""/>
              <w:rPr>
                <w:rFonts w:ascii="Arial" w:hAnsi="Arial" w:cs="Arial"/>
                <w:b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/>
                  <w:highlight w:val="lightGray"/>
                  <w:lang w:val="ru-RU"/>
                </w:rPr>
                <w:t xml:space="preserve"> 1</w:t>
              </w:r>
            </w:sdtContent>
          </w:sdt>
          <w:r>
            <w:rPr>
              <w:rFonts w:ascii="Arial" w:hAnsi="Arial" w:cs="Arial"/>
              <w:b/>
              <w:lang w:val="ru-RU"/>
            </w:rPr>
            <w:t xml:space="preserve"> </w:t>
          </w:r>
          <w:r>
            <w:rPr>
              <w:rFonts w:ascii="Arial" w:hAnsi="Arial" w:cs="Arial"/>
              <w:b/>
              <w:lang w:val="ru-RU"/>
            </w:rPr>
          </w:r>
          <w:r/>
        </w:p>
        <w:p>
          <w:pPr>
            <w:ind w:left="-142" w:firstLine="502"/>
            <w:jc w:val="right"/>
          </w:pPr>
          <w:r>
            <w:rPr>
              <w:rFonts w:ascii="Arial" w:hAnsi="Arial" w:cs="Arial"/>
              <w:b/>
              <w:lang w:val="ru-RU"/>
            </w:rPr>
            <w:t xml:space="preserve"> к Договору поставки №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8d5afde3d8244a82bcd4f95fb738d781"/>
              </w:placeholder>
              <w:tag w:val=""/>
              <w:rPr>
                <w:rFonts w:ascii="Arial" w:hAnsi="Arial" w:cs="Arial"/>
                <w:b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/>
                  <w:highlight w:val="lightGray"/>
                  <w:lang w:val="ru-RU"/>
                </w:rPr>
                <w:t xml:space="preserve">__</w:t>
              </w:r>
              <w:r>
                <w:rPr>
                  <w:rFonts w:ascii="Arial" w:hAnsi="Arial" w:cs="Arial"/>
                  <w:b/>
                  <w:highlight w:val="lightGray"/>
                  <w:lang w:val="ru-RU"/>
                </w:rPr>
                <w:t xml:space="preserve">_</w:t>
              </w:r>
              <w:r>
                <w:rPr>
                  <w:rFonts w:ascii="Arial" w:hAnsi="Arial" w:cs="Arial"/>
                  <w:b/>
                  <w:highlight w:val="lightGray"/>
                  <w:lang w:val="ru-RU"/>
                </w:rPr>
                <w:t xml:space="preserve">___</w:t>
              </w:r>
            </w:sdtContent>
          </w:sdt>
          <w:r>
            <w:rPr>
              <w:rFonts w:ascii="Arial" w:hAnsi="Arial" w:cs="Arial"/>
              <w:b/>
              <w:lang w:val="ru-RU"/>
            </w:rPr>
            <w:t xml:space="preserve"> от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3ee496c1c5444a23ada10d54c4e5da95"/>
              </w:placeholder>
              <w:tag w:val=""/>
              <w:rPr>
                <w:rFonts w:ascii="Arial" w:hAnsi="Arial" w:cs="Arial"/>
                <w:b/>
                <w:highlight w:val="lightGray"/>
                <w:lang w:val="ru-RU"/>
              </w:rPr>
            </w:sdtPr>
            <w:sdtContent>
              <w:r>
                <w:rPr>
                  <w:rFonts w:ascii="Arial" w:hAnsi="Arial" w:cs="Arial"/>
                  <w:b/>
                  <w:highlight w:val="lightGray"/>
                  <w:lang w:val="ru-RU"/>
                </w:rPr>
                <w:t xml:space="preserve">«_____»__________20__</w:t>
              </w:r>
            </w:sdtContent>
          </w:sdt>
          <w:r>
            <w:rPr>
              <w:rFonts w:ascii="Arial" w:hAnsi="Arial" w:cs="Arial"/>
              <w:b/>
              <w:lang w:val="ru-RU"/>
            </w:rPr>
            <w:t xml:space="preserve"> г.</w:t>
          </w:r>
          <w:r>
            <w:rPr>
              <w:rFonts w:ascii="Arial" w:hAnsi="Arial" w:cs="Arial"/>
              <w:b/>
              <w:lang w:val="ru-RU"/>
            </w:rPr>
          </w:r>
          <w:r/>
        </w:p>
        <w:p>
          <w:pPr>
            <w:ind w:left="-142" w:firstLine="502"/>
            <w:jc w:val="center"/>
          </w:pPr>
          <w:r>
            <w:rPr>
              <w:rFonts w:ascii="Arial" w:hAnsi="Arial" w:cs="Arial"/>
              <w:b/>
              <w:lang w:val="ru-RU"/>
            </w:rPr>
          </w:r>
          <w:r>
            <w:rPr>
              <w:rFonts w:ascii="Arial" w:hAnsi="Arial" w:cs="Arial"/>
              <w:b/>
              <w:lang w:val="ru-RU"/>
            </w:rPr>
          </w:r>
          <w:r/>
        </w:p>
        <w:p>
          <w:pPr>
            <w:pStyle w:val="828"/>
            <w:ind w:left="0"/>
            <w:jc w:val="center"/>
          </w:pPr>
          <w:r>
            <w:rPr>
              <w:rFonts w:ascii="Arial" w:hAnsi="Arial" w:cs="Arial"/>
              <w:b/>
              <w:bCs/>
              <w:lang w:val="ru-RU"/>
            </w:rPr>
            <w:t xml:space="preserve">ФОРМА</w:t>
          </w:r>
          <w:r>
            <w:rPr>
              <w:rFonts w:ascii="Arial" w:hAnsi="Arial" w:cs="Arial"/>
              <w:b/>
              <w:bCs/>
              <w:lang w:val="ru-RU"/>
            </w:rPr>
          </w:r>
          <w:r/>
        </w:p>
        <w:p>
          <w:pPr>
            <w:pStyle w:val="828"/>
            <w:ind w:left="0"/>
            <w:jc w:val="center"/>
          </w:pPr>
          <w:r>
            <w:rPr>
              <w:rFonts w:ascii="Arial" w:hAnsi="Arial" w:cs="Arial"/>
              <w:b/>
              <w:bCs/>
              <w:lang w:val="ru-RU"/>
            </w:rPr>
            <w:t xml:space="preserve">СПЕЦИФИКАЦИЯ</w:t>
          </w:r>
          <w:r>
            <w:rPr>
              <w:rFonts w:ascii="Arial" w:hAnsi="Arial" w:cs="Arial"/>
              <w:b/>
              <w:bCs/>
              <w:lang w:val="ru-RU"/>
            </w:rPr>
            <w:t xml:space="preserve"> № </w:t>
          </w:r>
          <w:r>
            <w:rPr>
              <w:rFonts w:ascii="Arial" w:hAnsi="Arial" w:cs="Arial"/>
              <w:b/>
              <w:bCs/>
              <w:lang w:val="ru-RU"/>
            </w:rPr>
            <w:t xml:space="preserve">__</w:t>
          </w:r>
          <w:r>
            <w:rPr>
              <w:rFonts w:ascii="Arial" w:hAnsi="Arial" w:cs="Arial"/>
              <w:b/>
              <w:bCs/>
              <w:lang w:val="ru-RU"/>
            </w:rPr>
          </w:r>
          <w:r/>
        </w:p>
        <w:p>
          <w:pPr>
            <w:pStyle w:val="828"/>
            <w:ind w:left="0"/>
            <w:jc w:val="center"/>
          </w:pPr>
          <w:r>
            <w:rPr>
              <w:rFonts w:ascii="Arial" w:hAnsi="Arial" w:cs="Arial"/>
              <w:b/>
              <w:bCs/>
              <w:lang w:val="ru-RU"/>
            </w:rPr>
          </w:r>
          <w:r>
            <w:rPr>
              <w:rFonts w:ascii="Arial" w:hAnsi="Arial" w:cs="Arial"/>
              <w:b/>
              <w:bCs/>
              <w:lang w:val="ru-RU"/>
            </w:rPr>
          </w:r>
          <w:r/>
        </w:p>
        <w:p>
          <w:pPr>
            <w:pStyle w:val="828"/>
            <w:numPr>
              <w:ilvl w:val="0"/>
              <w:numId w:val="3"/>
            </w:numPr>
            <w:jc w:val="both"/>
          </w:pPr>
          <w:r>
            <w:rPr>
              <w:rFonts w:ascii="Arial" w:hAnsi="Arial" w:cs="Arial"/>
              <w:bCs/>
              <w:lang w:val="ru-RU"/>
            </w:rPr>
            <w:t xml:space="preserve">Поставщик поставляет и передает в собственность Покупателю </w:t>
          </w:r>
          <w:r>
            <w:rPr>
              <w:rFonts w:ascii="Arial" w:hAnsi="Arial" w:cs="Arial"/>
              <w:color w:val="000000"/>
              <w:lang w:val="ru-RU"/>
            </w:rPr>
            <w:t xml:space="preserve">следующий Товар</w:t>
          </w:r>
          <w:r>
            <w:rPr>
              <w:rFonts w:ascii="Arial" w:hAnsi="Arial" w:cs="Arial"/>
              <w:bCs/>
              <w:lang w:val="ru-RU"/>
            </w:rPr>
            <w:t xml:space="preserve">:</w:t>
          </w:r>
          <w:r>
            <w:rPr>
              <w:rFonts w:ascii="Arial" w:hAnsi="Arial" w:cs="Arial"/>
              <w:lang w:val="ru-RU"/>
            </w:rPr>
          </w:r>
          <w:r/>
        </w:p>
        <w:p>
          <w:pPr>
            <w:ind w:right="-879"/>
          </w:pPr>
          <w:r>
            <w:rPr>
              <w:rFonts w:ascii="Arial" w:hAnsi="Arial" w:cs="Arial"/>
              <w:sz w:val="16"/>
              <w:szCs w:val="16"/>
              <w:lang w:val="ru-RU"/>
            </w:rPr>
          </w:r>
          <w:r>
            <w:rPr>
              <w:rFonts w:ascii="Arial" w:hAnsi="Arial" w:cs="Arial"/>
              <w:sz w:val="16"/>
              <w:szCs w:val="16"/>
              <w:lang w:val="ru-RU"/>
            </w:rPr>
          </w:r>
          <w:r/>
        </w:p>
        <w:tbl>
          <w:tblPr>
            <w:tblW w:w="9530" w:type="dxa"/>
            <w:tblInd w:w="108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shd w:val="clear" w:color="auto" w:fill="bfbfbf" w:themeFill="background1" w:themeFillShade="BF"/>
            <w:tblLayout w:type="fixed"/>
            <w:tblLook w:val="01E0" w:firstRow="1" w:lastRow="1" w:firstColumn="1" w:lastColumn="1" w:noHBand="0" w:noVBand="0"/>
          </w:tblPr>
          <w:tblGrid>
            <w:gridCol w:w="751"/>
            <w:gridCol w:w="2117"/>
            <w:gridCol w:w="1134"/>
            <w:gridCol w:w="1276"/>
            <w:gridCol w:w="1417"/>
            <w:gridCol w:w="1559"/>
            <w:gridCol w:w="1276"/>
          </w:tblGrid>
          <w:tr>
            <w:trPr>
              <w:trHeight w:val="461"/>
            </w:trPr>
            <w:tc>
              <w:tcPr>
                <w:shd w:val="clear" w:color="ffffff" w:fill="bfbfbf" w:themeFill="background1" w:themeFillShade="BF"/>
                <w:tcW w:w="751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contextualSpacing w:val="0"/>
                  <w:jc w:val="center"/>
                  <w:spacing w:before="0" w:after="0" w:line="240" w:lineRule="auto"/>
                  <w:suppressLineNumbers w:val="0"/>
                </w:pPr>
                <w:r>
                  <w:rPr>
                    <w:rFonts w:ascii="Arial" w:hAnsi="Arial" w:cs="Arial"/>
                    <w:b/>
                  </w:rPr>
                  <w:t xml:space="preserve">№</w:t>
                </w:r>
                <w:r>
                  <w:rPr>
                    <w:rFonts w:ascii="Arial" w:hAnsi="Arial" w:cs="Arial"/>
                    <w:b/>
                  </w:rPr>
                </w:r>
                <w:r/>
              </w:p>
              <w:p>
                <w:pPr>
                  <w:contextualSpacing w:val="0"/>
                  <w:jc w:val="center"/>
                  <w:spacing w:before="0" w:after="0" w:line="240" w:lineRule="auto"/>
                  <w:rPr>
                    <w:rFonts w:ascii="Arial" w:hAnsi="Arial" w:cs="Arial"/>
                    <w:bCs/>
                  </w:rPr>
                  <w:suppressLineNumbers w:val="0"/>
                </w:pPr>
                <w:r>
                  <w:rPr>
                    <w:rFonts w:ascii="Arial" w:hAnsi="Arial" w:cs="Arial"/>
                    <w:b/>
                  </w:rPr>
                  <w:t xml:space="preserve">п/п</w:t>
                </w:r>
                <w:r>
                  <w:rPr>
                    <w:rFonts w:ascii="Arial" w:hAnsi="Arial" w:cs="Arial"/>
                    <w:b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2117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contextualSpacing w:val="0"/>
                  <w:jc w:val="center"/>
                  <w:spacing w:before="0" w:after="0" w:line="240" w:lineRule="auto"/>
                  <w:suppressLineNumbers w:val="0"/>
                </w:pPr>
                <w:r>
                  <w:rPr>
                    <w:rFonts w:ascii="Arial" w:hAnsi="Arial" w:cs="Arial"/>
                    <w:b/>
                    <w:lang w:val="ru-RU"/>
                  </w:rPr>
                  <w:t xml:space="preserve">Наименование Товара</w:t>
                </w:r>
                <w:r>
                  <w:rPr>
                    <w:rFonts w:ascii="Arial" w:hAnsi="Arial" w:cs="Arial"/>
                    <w:b/>
                    <w:lang w:val="ru-RU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134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contextualSpacing w:val="0"/>
                  <w:jc w:val="center"/>
                  <w:spacing w:before="0" w:after="0" w:line="240" w:lineRule="auto"/>
                  <w:rPr>
                    <w:rFonts w:ascii="Arial" w:hAnsi="Arial" w:cs="Arial"/>
                    <w:bCs/>
                  </w:rPr>
                  <w:suppressLineNumbers w:val="0"/>
                </w:pPr>
                <w:r>
                  <w:rPr>
                    <w:rFonts w:ascii="Arial" w:hAnsi="Arial" w:cs="Arial"/>
                    <w:b/>
                    <w:lang w:val="ru-RU"/>
                  </w:rPr>
                  <w:t xml:space="preserve">Ед. изм.</w:t>
                </w:r>
                <w:r>
                  <w:rPr>
                    <w:rFonts w:ascii="Arial" w:hAnsi="Arial" w:cs="Arial"/>
                    <w:b/>
                    <w:lang w:val="en-US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276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contextualSpacing w:val="0"/>
                  <w:jc w:val="center"/>
                  <w:spacing w:before="0" w:after="0" w:line="240" w:lineRule="auto"/>
                  <w:rPr>
                    <w:rFonts w:ascii="Arial" w:hAnsi="Arial" w:cs="Arial"/>
                  </w:rPr>
                  <w:suppressLineNumbers w:val="0"/>
                </w:pPr>
                <w:r>
                  <w:rPr>
                    <w:rFonts w:ascii="Arial" w:hAnsi="Arial" w:cs="Arial"/>
                    <w:b/>
                    <w:lang w:val="ru-RU"/>
                  </w:rPr>
                  <w:t xml:space="preserve">Кол-во</w:t>
                </w:r>
                <w:r>
                  <w:rPr>
                    <w:rFonts w:ascii="Arial" w:hAnsi="Arial" w:cs="Arial"/>
                    <w:lang w:val="en-US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417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contextualSpacing w:val="0"/>
                  <w:jc w:val="center"/>
                  <w:spacing w:before="0" w:after="0" w:line="240" w:lineRule="auto"/>
                  <w:suppressLineNumbers w:val="0"/>
                </w:pPr>
                <w:r>
                  <w:rPr>
                    <w:rFonts w:ascii="Arial" w:hAnsi="Arial" w:cs="Arial"/>
                    <w:b/>
                    <w:lang w:val="ru-RU"/>
                  </w:rPr>
                  <w:t xml:space="preserve">Сумма, ед., с НДС</w:t>
                </w:r>
                <w:r>
                  <w:rPr>
                    <w:rFonts w:ascii="Arial" w:hAnsi="Arial" w:cs="Arial"/>
                    <w:b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559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contextualSpacing w:val="0"/>
                  <w:ind w:left="0" w:right="34" w:firstLine="0"/>
                  <w:jc w:val="center"/>
                  <w:spacing w:before="0" w:after="0" w:line="240" w:lineRule="auto"/>
                  <w:rPr>
                    <w:rFonts w:ascii="Arial" w:hAnsi="Arial" w:cs="Arial"/>
                    <w:bCs/>
                  </w:rPr>
                  <w:suppressLineNumbers w:val="0"/>
                </w:pPr>
                <w:r>
                  <w:rPr>
                    <w:rFonts w:ascii="Arial" w:hAnsi="Arial" w:cs="Arial"/>
                    <w:b/>
                    <w:lang w:val="ru-RU"/>
                  </w:rPr>
                  <w:t xml:space="preserve">Сумма всего,</w:t>
                </w:r>
                <w:r>
                  <w:rPr>
                    <w:rFonts w:ascii="Arial" w:hAnsi="Arial" w:cs="Arial"/>
                    <w:b/>
                    <w:lang w:val="ru-RU"/>
                  </w:rPr>
                  <w:br/>
                  <w:t xml:space="preserve">с НДС</w:t>
                </w:r>
                <w:r>
                  <w:rPr>
                    <w:rFonts w:ascii="Arial" w:hAnsi="Arial" w:cs="Arial"/>
                    <w:b/>
                    <w:lang w:val="ru-RU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276" w:type="dxa"/>
                <w:vAlign w:val="center"/>
                <w:vMerge w:val="restart"/>
                <w:textDirection w:val="lrTb"/>
                <w:noWrap w:val="false"/>
              </w:tcPr>
              <w:p>
                <w:pPr>
                  <w:contextualSpacing w:val="0"/>
                  <w:jc w:val="center"/>
                  <w:spacing w:before="0" w:after="0" w:line="240" w:lineRule="auto"/>
                  <w:rPr>
                    <w:rFonts w:ascii="Arial" w:hAnsi="Arial" w:cs="Arial"/>
                    <w:bCs/>
                  </w:rPr>
                  <w:suppressLineNumbers w:val="0"/>
                </w:pPr>
                <w:r>
                  <w:rPr>
                    <w:rFonts w:ascii="Arial" w:hAnsi="Arial" w:cs="Arial"/>
                    <w:b/>
                    <w:lang w:val="ru-RU"/>
                  </w:rPr>
                  <w:t xml:space="preserve">Место поставки</w:t>
                </w:r>
                <w:r>
                  <w:rPr>
                    <w:rFonts w:ascii="Arial" w:hAnsi="Arial" w:cs="Arial"/>
                    <w:b/>
                    <w:lang w:val="en-US"/>
                  </w:rPr>
                </w:r>
                <w:r/>
              </w:p>
            </w:tc>
          </w:tr>
          <w:tr>
            <w:trPr>
              <w:trHeight w:val="120"/>
            </w:trPr>
            <w:tc>
              <w:tcPr>
                <w:shd w:val="clear" w:color="ffffff" w:fill="bfbfbf" w:themeFill="background1" w:themeFillShade="BF"/>
                <w:tcW w:w="751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</w:r>
                <w:r>
                  <w:rPr>
                    <w:rFonts w:ascii="Arial" w:hAnsi="Arial" w:cs="Arial"/>
                    <w:lang w:val="ru-RU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2117" w:type="dxa"/>
                <w:vAlign w:val="center"/>
                <w:textDirection w:val="lrTb"/>
                <w:noWrap w:val="false"/>
              </w:tcPr>
              <w:p>
                <w:pPr>
                  <w:pStyle w:val="828"/>
                  <w:jc w:val="center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</w:r>
                <w:r>
                  <w:rPr>
                    <w:rFonts w:ascii="Arial" w:hAnsi="Arial" w:cs="Arial"/>
                    <w:lang w:val="ru-RU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134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</w:r>
                <w:r>
                  <w:rPr>
                    <w:rFonts w:ascii="Arial" w:hAnsi="Arial" w:cs="Arial"/>
                    <w:lang w:val="ru-RU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276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</w:r>
                <w:r>
                  <w:rPr>
                    <w:rFonts w:ascii="Arial" w:hAnsi="Arial" w:cs="Arial"/>
                    <w:lang w:val="ru-RU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417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</w:r>
                <w:r>
                  <w:rPr>
                    <w:rFonts w:ascii="Arial" w:hAnsi="Arial" w:cs="Arial"/>
                    <w:lang w:val="ru-RU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55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</w:r>
                <w:r>
                  <w:rPr>
                    <w:rFonts w:ascii="Arial" w:hAnsi="Arial" w:cs="Arial"/>
                    <w:lang w:val="ru-RU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276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lang w:val="ru-RU"/>
                  </w:rPr>
                </w:pPr>
                <w:r>
                  <w:rPr>
                    <w:rFonts w:ascii="Arial" w:hAnsi="Arial" w:cs="Arial"/>
                    <w:lang w:val="ru-RU"/>
                  </w:rPr>
                </w:r>
                <w:r>
                  <w:rPr>
                    <w:rFonts w:ascii="Arial" w:hAnsi="Arial" w:cs="Arial"/>
                    <w:lang w:val="ru-RU"/>
                  </w:rPr>
                </w:r>
                <w:r/>
              </w:p>
            </w:tc>
          </w:tr>
          <w:tr>
            <w:trPr>
              <w:trHeight w:val="177"/>
            </w:trPr>
            <w:tc>
              <w:tcPr>
                <w:gridSpan w:val="2"/>
                <w:shd w:val="clear" w:color="ffffff" w:fill="bfbfbf" w:themeFill="background1" w:themeFillShade="BF"/>
                <w:tcW w:w="2868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/>
                  </w:rPr>
                  <w:t xml:space="preserve">ИТОГО</w:t>
                </w:r>
                <w:r>
                  <w:rPr>
                    <w:rFonts w:ascii="Arial" w:hAnsi="Arial" w:cs="Arial"/>
                    <w:b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134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/>
                  </w:rPr>
                </w:r>
                <w:r>
                  <w:rPr>
                    <w:rFonts w:ascii="Arial" w:hAnsi="Arial" w:cs="Arial"/>
                    <w:b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276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/>
                  </w:rPr>
                </w:r>
                <w:r>
                  <w:rPr>
                    <w:rFonts w:ascii="Arial" w:hAnsi="Arial" w:cs="Arial"/>
                    <w:b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417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bCs/>
                    <w:lang w:val="en-US"/>
                  </w:rPr>
                </w:pPr>
                <w:r>
                  <w:rPr>
                    <w:rFonts w:ascii="Arial" w:hAnsi="Arial" w:cs="Arial"/>
                    <w:b/>
                    <w:lang w:val="en-US"/>
                  </w:rPr>
                </w:r>
                <w:r>
                  <w:rPr>
                    <w:rFonts w:ascii="Arial" w:hAnsi="Arial" w:cs="Arial"/>
                    <w:b/>
                    <w:lang w:val="en-US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55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bCs/>
                    <w:lang w:val="ru-RU"/>
                  </w:rPr>
                </w:pPr>
                <w:r>
                  <w:rPr>
                    <w:rFonts w:ascii="Arial" w:hAnsi="Arial" w:cs="Arial"/>
                    <w:b/>
                    <w:lang w:val="ru-RU"/>
                  </w:rPr>
                </w:r>
                <w:r>
                  <w:rPr>
                    <w:rFonts w:ascii="Arial" w:hAnsi="Arial" w:cs="Arial"/>
                    <w:b/>
                    <w:lang w:val="ru-RU"/>
                  </w:rPr>
                </w:r>
                <w:r/>
              </w:p>
            </w:tc>
            <w:tc>
              <w:tcPr>
                <w:shd w:val="clear" w:color="ffffff" w:fill="bfbfbf" w:themeFill="background1" w:themeFillShade="BF"/>
                <w:tcW w:w="1276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/>
                  </w:rPr>
                </w:r>
                <w:r>
                  <w:rPr>
                    <w:rFonts w:ascii="Arial" w:hAnsi="Arial" w:cs="Arial"/>
                    <w:b/>
                  </w:rPr>
                </w:r>
                <w:r/>
              </w:p>
            </w:tc>
          </w:tr>
        </w:tbl>
        <w:p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</w:r>
          <w:r/>
        </w:p>
        <w:p>
          <w:r>
            <w:rPr>
              <w:rFonts w:ascii="Arial" w:hAnsi="Arial" w:cs="Arial"/>
              <w:lang w:val="ru-RU"/>
            </w:rPr>
            <w:t xml:space="preserve">ИТОГО: _____________ (</w:t>
          </w:r>
          <w:r>
            <w:rPr>
              <w:rFonts w:ascii="Arial" w:hAnsi="Arial" w:cs="Arial"/>
              <w:i/>
              <w:lang w:val="ru-RU"/>
            </w:rPr>
            <w:t xml:space="preserve">____________________) </w:t>
          </w:r>
          <w:r>
            <w:rPr>
              <w:rFonts w:ascii="Arial" w:hAnsi="Arial" w:cs="Arial"/>
              <w:bCs/>
              <w:lang w:val="ru-RU"/>
            </w:rPr>
            <w:t xml:space="preserve">____ </w:t>
          </w:r>
          <w:sdt>
            <w:sdtPr>
              <w:alias w:val=""/>
              <w15:appearance w15:val="boundingBox"/>
              <w:label w:val="0"/>
              <w:lock w:val="unlocked"/>
              <w:placeholder>
                <w:docPart w:val="6a6a37f4b73e4a3a824ec9af28064b81"/>
              </w:placeholder>
              <w:tag w:val=""/>
              <w:rPr>
                <w:rFonts w:ascii="Arial" w:hAnsi="Arial" w:cs="Arial"/>
                <w:bCs/>
                <w:lang w:val="ru-RU"/>
              </w:rPr>
            </w:sdtPr>
            <w:sdtContent>
              <w:r>
                <w:rPr>
                  <w:rFonts w:ascii="Arial" w:hAnsi="Arial" w:cs="Arial"/>
                  <w:bCs/>
                  <w:lang w:val="ru-RU"/>
                </w:rPr>
                <w:t xml:space="preserve">НДС не облагается в соответствии с _________", либо "в т.ч. НДС по ставке ___</w:t>
              </w:r>
              <w:r>
                <w:rPr>
                  <w:rFonts w:ascii="Arial" w:hAnsi="Arial" w:cs="Arial"/>
                  <w:bCs/>
                  <w:i/>
                  <w:iCs/>
                  <w:lang w:val="ru-RU"/>
                </w:rPr>
                <w:t xml:space="preserve">% - ______ руб.", либо "кроме того НДС по ставке___% - __________ руб."</w:t>
              </w:r>
            </w:sdtContent>
          </w:sdt>
          <w:r>
            <w:rPr>
              <w:rFonts w:ascii="Arial" w:hAnsi="Arial" w:cs="Arial"/>
              <w:lang w:val="ru-RU"/>
            </w:rPr>
          </w:r>
          <w:r/>
        </w:p>
        <w:p>
          <w:pPr>
            <w:jc w:val="both"/>
          </w:pPr>
          <w:r>
            <w:rPr>
              <w:rFonts w:ascii="Arial" w:hAnsi="Arial" w:cs="Arial"/>
              <w:bCs/>
              <w:lang w:val="ru-RU"/>
            </w:rPr>
          </w:r>
          <w:r>
            <w:rPr>
              <w:rFonts w:ascii="Arial" w:hAnsi="Arial" w:cs="Arial"/>
              <w:bCs/>
              <w:lang w:val="ru-RU"/>
            </w:rPr>
          </w:r>
          <w:r/>
        </w:p>
        <w:p>
          <w:pPr>
            <w:pStyle w:val="828"/>
            <w:numPr>
              <w:ilvl w:val="0"/>
              <w:numId w:val="3"/>
            </w:numPr>
            <w:jc w:val="both"/>
          </w:pPr>
          <w:r>
            <w:rPr>
              <w:rFonts w:ascii="Arial" w:hAnsi="Arial" w:cs="Arial"/>
              <w:b/>
              <w:bCs/>
              <w:lang w:val="ru-RU"/>
            </w:rPr>
            <w:t xml:space="preserve">Условия поставки:</w:t>
          </w:r>
          <w:r>
            <w:rPr>
              <w:rFonts w:ascii="Arial" w:hAnsi="Arial" w:cs="Arial"/>
              <w:b/>
              <w:bCs/>
              <w:lang w:val="ru-RU"/>
            </w:rPr>
          </w:r>
          <w:r/>
        </w:p>
        <w:p>
          <w:pPr>
            <w:pStyle w:val="828"/>
            <w:numPr>
              <w:ilvl w:val="1"/>
              <w:numId w:val="3"/>
            </w:numPr>
            <w:ind w:left="426"/>
            <w:jc w:val="both"/>
          </w:pPr>
          <w:r>
            <w:rPr>
              <w:rFonts w:ascii="Arial" w:hAnsi="Arial" w:cs="Arial"/>
              <w:bCs/>
              <w:lang w:val="ru-RU"/>
            </w:rPr>
            <w:t xml:space="preserve">Пункт назначения: _______________</w:t>
          </w:r>
          <w:r>
            <w:rPr>
              <w:rFonts w:ascii="Arial" w:hAnsi="Arial" w:cs="Arial"/>
              <w:b/>
              <w:color w:val="000000"/>
              <w:lang w:val="ru-RU"/>
            </w:rPr>
          </w:r>
          <w:r/>
        </w:p>
        <w:p>
          <w:pPr>
            <w:pStyle w:val="828"/>
            <w:numPr>
              <w:ilvl w:val="1"/>
              <w:numId w:val="3"/>
            </w:numPr>
            <w:ind w:left="426"/>
            <w:jc w:val="both"/>
          </w:pPr>
          <w:r/>
          <w:sdt>
            <w:sdtPr>
              <w:alias w:val=""/>
              <w15:appearance w15:val="boundingBox"/>
              <w:label w:val="0"/>
              <w:lock w:val="unlocked"/>
              <w:placeholder>
                <w:docPart w:val="361c033546d14a17bd0cf87c7cab45d5"/>
              </w:placeholder>
              <w:tag w:val=""/>
              <w:rPr>
                <w:rFonts w:ascii="Arial" w:hAnsi="Arial" w:cs="Arial"/>
                <w:lang w:val="ru-RU"/>
              </w:rPr>
            </w:sdtPr>
            <w:sdtContent>
              <w:r>
                <w:rPr>
                  <w:rFonts w:ascii="Arial" w:hAnsi="Arial" w:cs="Arial"/>
                  <w:lang w:val="ru-RU"/>
                </w:rPr>
                <w:t xml:space="preserve">Срок поставки Товара по настоящему П</w:t>
              </w:r>
              <w:r>
                <w:rPr>
                  <w:rFonts w:ascii="Arial" w:hAnsi="Arial" w:cs="Arial"/>
                  <w:lang w:val="ru-RU"/>
                </w:rPr>
                <w:t xml:space="preserve">риложению</w:t>
              </w:r>
              <w:r>
                <w:rPr>
                  <w:rFonts w:ascii="Arial" w:hAnsi="Arial" w:cs="Arial"/>
                  <w:lang w:val="ru-RU"/>
                </w:rPr>
                <w:t xml:space="preserve">: </w:t>
              </w:r>
              <w:r>
                <w:rPr>
                  <w:rFonts w:ascii="Arial" w:hAnsi="Arial" w:cs="Arial"/>
                  <w:lang w:val="ru-RU"/>
                </w:rPr>
                <w:t xml:space="preserve">не более </w:t>
              </w:r>
              <w:r>
                <w:rPr>
                  <w:rFonts w:ascii="Arial" w:hAnsi="Arial" w:cs="Arial"/>
                  <w:lang w:val="ru-RU"/>
                </w:rPr>
                <w:t xml:space="preserve">2 (</w:t>
              </w:r>
              <w:r>
                <w:rPr>
                  <w:rFonts w:ascii="Arial" w:hAnsi="Arial" w:cs="Arial"/>
                  <w:lang w:val="ru-RU"/>
                </w:rPr>
                <w:t xml:space="preserve">двух) рабоч</w:t>
              </w:r>
              <w:r>
                <w:rPr>
                  <w:rFonts w:ascii="Arial" w:hAnsi="Arial" w:cs="Arial"/>
                  <w:lang w:val="ru-RU"/>
                </w:rPr>
                <w:t xml:space="preserve">их дней</w:t>
              </w:r>
              <w:r>
                <w:rPr>
                  <w:rFonts w:ascii="Arial" w:hAnsi="Arial" w:cs="Arial"/>
                  <w:lang w:val="ru-RU"/>
                </w:rPr>
              </w:r>
              <w:r>
                <w:rPr>
                  <w:rFonts w:ascii="Arial" w:hAnsi="Arial" w:cs="Arial"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lang w:val="ru-RU"/>
                </w:rPr>
                <w:t xml:space="preserve">с момента подписания Приложения. Возможна досрочная поставка, </w:t>
              </w:r>
              <w:r>
                <w:rPr>
                  <w:rFonts w:ascii="Arial" w:hAnsi="Arial" w:cs="Arial"/>
                  <w:lang w:val="ru-RU"/>
                </w:rPr>
                <w:t xml:space="preserve">но не ранее получения уведомления от Покупателя о</w:t>
              </w:r>
              <w:r>
                <w:rPr>
                  <w:rFonts w:ascii="Arial" w:hAnsi="Arial" w:cs="Arial"/>
                  <w:bCs/>
                  <w:lang w:val="ru-RU"/>
                </w:rPr>
                <w:t xml:space="preserve"> готовности к приемке Товара</w:t>
              </w:r>
            </w:sdtContent>
          </w:sdt>
          <w:r>
            <w:rPr>
              <w:rFonts w:ascii="Arial" w:hAnsi="Arial" w:cs="Arial"/>
              <w:bCs/>
              <w:lang w:val="ru-RU"/>
            </w:rPr>
            <w:t xml:space="preserve">.</w:t>
          </w:r>
          <w:r>
            <w:rPr>
              <w:rFonts w:ascii="Arial" w:hAnsi="Arial" w:cs="Arial"/>
              <w:bCs/>
              <w:lang w:val="ru-RU"/>
            </w:rPr>
          </w:r>
          <w:r/>
        </w:p>
        <w:p>
          <w:pPr>
            <w:pStyle w:val="828"/>
            <w:numPr>
              <w:ilvl w:val="0"/>
              <w:numId w:val="3"/>
            </w:numPr>
            <w:jc w:val="both"/>
          </w:pPr>
          <w:r>
            <w:rPr>
              <w:rFonts w:ascii="Arial" w:hAnsi="Arial" w:cs="Arial"/>
              <w:b/>
              <w:bCs/>
              <w:lang w:val="ru-RU"/>
            </w:rPr>
            <w:t xml:space="preserve">Условия оплаты:</w:t>
          </w:r>
          <w:r>
            <w:rPr>
              <w:rFonts w:ascii="Arial" w:hAnsi="Arial" w:cs="Arial"/>
              <w:bCs/>
              <w:i/>
              <w:lang w:val="ru-RU"/>
            </w:rPr>
          </w:r>
          <w:r/>
        </w:p>
        <w:sdt>
          <w:sdtPr>
            <w15:appearance w15:val="boundingBox"/>
            <w:id w:val="-1546359726"/>
            <w:placeholder>
              <w:docPart w:val="209fe7392cde46fa9cb19a2d095821d3"/>
            </w:placeholder>
            <w:rPr/>
          </w:sdtPr>
          <w:sdtContent>
            <w:p>
              <w:pPr>
                <w:pStyle w:val="828"/>
                <w:numPr>
                  <w:ilvl w:val="1"/>
                  <w:numId w:val="3"/>
                </w:numPr>
                <w:ind w:left="426"/>
                <w:jc w:val="both"/>
                <w:rPr>
                  <w:rFonts w:ascii="Arial" w:hAnsi="Arial" w:cs="Arial"/>
                  <w:lang w:val="ru-RU"/>
                </w:rPr>
              </w:pPr>
              <w:r>
                <w:rPr>
                  <w:rFonts w:ascii="Arial" w:hAnsi="Arial" w:cs="Arial"/>
                  <w:lang w:val="ru-RU"/>
                </w:rPr>
              </w:r>
              <w:r>
                <w:rPr>
                  <w:rFonts w:ascii="Arial" w:hAnsi="Arial" w:cs="Arial"/>
                  <w:lang w:val="ru-RU"/>
                </w:rPr>
                <w:t xml:space="preserve">Срок и порядок оплаты Товара по настоящему Приложению</w:t>
              </w:r>
              <w:r>
                <w:rPr>
                  <w:rFonts w:ascii="Arial" w:hAnsi="Arial" w:cs="Arial"/>
                  <w:bCs/>
                  <w:lang w:val="ru-RU"/>
                </w:rPr>
                <w:t xml:space="preserve"> </w:t>
              </w:r>
              <w:r>
                <w:rPr>
                  <w:rFonts w:ascii="Arial" w:hAnsi="Arial" w:cs="Arial"/>
                  <w:lang w:val="ru-RU"/>
                </w:rPr>
                <w:t xml:space="preserve">определяется в соответствии с пунктом 4.2. Договора.</w:t>
              </w:r>
              <w:r>
                <w:rPr>
                  <w:rFonts w:ascii="Arial" w:hAnsi="Arial" w:cs="Arial"/>
                  <w:bCs/>
                  <w:lang w:val="ru-RU"/>
                </w:rPr>
              </w:r>
              <w:r/>
            </w:p>
          </w:sdtContent>
        </w:sdt>
        <w:p>
          <w:pPr>
            <w:pStyle w:val="828"/>
            <w:numPr>
              <w:ilvl w:val="0"/>
              <w:numId w:val="3"/>
            </w:numPr>
            <w:jc w:val="both"/>
          </w:pPr>
          <w:r>
            <w:rPr>
              <w:rFonts w:ascii="Arial" w:hAnsi="Arial" w:cs="Arial"/>
              <w:bCs/>
              <w:lang w:val="ru-RU"/>
            </w:rPr>
            <w:t xml:space="preserve">Во всем остальном, что не предусмотрено настоящим Приложением, для Сторон будут обязательными условия Договора. </w:t>
          </w:r>
          <w:r>
            <w:rPr>
              <w:rFonts w:ascii="Arial" w:hAnsi="Arial" w:cs="Arial"/>
              <w:bCs/>
              <w:lang w:val="ru-RU"/>
            </w:rPr>
          </w:r>
          <w:r/>
        </w:p>
        <w:p>
          <w:pPr>
            <w:pStyle w:val="828"/>
            <w:ind w:left="360"/>
            <w:jc w:val="both"/>
          </w:pPr>
          <w:r>
            <w:rPr>
              <w:rFonts w:ascii="Arial" w:hAnsi="Arial" w:cs="Arial"/>
              <w:bCs/>
              <w:lang w:val="ru-RU"/>
            </w:rPr>
            <w:t xml:space="preserve">Настоящее Приложение составлено в двух экземплярах, по одному для каждой из Сторон, оба экземпляра имеют равную юридическую силу.</w:t>
          </w:r>
          <w:r>
            <w:rPr>
              <w:rFonts w:ascii="Arial" w:hAnsi="Arial" w:cs="Arial"/>
              <w:bCs/>
              <w:lang w:val="ru-RU"/>
            </w:rPr>
          </w:r>
          <w:r/>
        </w:p>
        <w:p>
          <w:pPr>
            <w:jc w:val="center"/>
          </w:pPr>
          <w:r>
            <w:rPr>
              <w:rFonts w:ascii="Arial" w:hAnsi="Arial" w:cs="Arial"/>
              <w:bCs/>
              <w:lang w:val="ru-RU"/>
            </w:rPr>
            <w:t xml:space="preserve">ПОДПИСИ СТОРОН:</w:t>
          </w:r>
          <w:r>
            <w:rPr>
              <w:rFonts w:ascii="Arial" w:hAnsi="Arial" w:cs="Arial"/>
              <w:bCs/>
              <w:lang w:val="ru-RU"/>
            </w:rPr>
          </w:r>
          <w:r/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7256"/>
            <w:gridCol w:w="7306"/>
          </w:tblGrid>
          <w:tr>
            <w:trPr>
              <w:trHeight w:val="710"/>
            </w:trPr>
            <w:tc>
              <w:tcPr>
                <w:tcW w:w="7256" w:type="dxa"/>
                <w:textDirection w:val="lrTb"/>
                <w:noWrap w:val="false"/>
              </w:tcPr>
              <w:p>
                <w:pPr>
                  <w:jc w:val="both"/>
                </w:pPr>
                <w:r>
                  <w:rPr>
                    <w:rFonts w:ascii="Arial" w:hAnsi="Arial" w:cs="Arial"/>
                  </w:rPr>
                  <w:t xml:space="preserve">От Покупателя</w:t>
                </w:r>
                <w:r>
                  <w:rPr>
                    <w:rFonts w:ascii="Arial" w:hAnsi="Arial" w:cs="Arial"/>
                  </w:rPr>
                </w:r>
                <w:r/>
              </w:p>
              <w:p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Cs/>
                    <w:lang w:val="en-US"/>
                  </w:rPr>
                  <w:t xml:space="preserve">&lt;</w:t>
                </w:r>
                <w:r>
                  <w:rPr>
                    <w:rFonts w:ascii="Arial" w:hAnsi="Arial" w:cs="Arial"/>
                    <w:bCs/>
                    <w:lang w:val="ru-RU"/>
                  </w:rPr>
                  <w:t xml:space="preserve">____________ /__________/</w:t>
                </w:r>
                <w:r>
                  <w:rPr>
                    <w:rFonts w:ascii="Arial" w:hAnsi="Arial" w:cs="Arial"/>
                    <w:bCs/>
                    <w:lang w:val="en-US"/>
                  </w:rPr>
                  <w:t xml:space="preserve">&gt;</w:t>
                </w:r>
                <w:r>
                  <w:rPr>
                    <w:rFonts w:ascii="Arial" w:hAnsi="Arial" w:cs="Arial"/>
                  </w:rPr>
                </w:r>
                <w:r/>
              </w:p>
            </w:tc>
            <w:tc>
              <w:tcPr>
                <w:tcW w:w="7306" w:type="dxa"/>
                <w:textDirection w:val="lrTb"/>
                <w:noWrap w:val="false"/>
              </w:tcPr>
              <w:p>
                <w:pPr>
                  <w:jc w:val="both"/>
                </w:pPr>
                <w:r>
                  <w:rPr>
                    <w:rFonts w:ascii="Arial" w:hAnsi="Arial" w:cs="Arial"/>
                  </w:rPr>
                  <w:t xml:space="preserve">От Поставщика</w:t>
                </w:r>
                <w:r>
                  <w:rPr>
                    <w:rFonts w:ascii="Arial" w:hAnsi="Arial" w:cs="Arial"/>
                  </w:rPr>
                </w:r>
                <w:r/>
              </w:p>
              <w:p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Cs/>
                    <w:lang w:val="en-US"/>
                  </w:rPr>
                  <w:t xml:space="preserve">&lt;</w:t>
                </w:r>
                <w:r>
                  <w:rPr>
                    <w:rFonts w:ascii="Arial" w:hAnsi="Arial" w:cs="Arial"/>
                    <w:bCs/>
                    <w:lang w:val="ru-RU"/>
                  </w:rPr>
                  <w:t xml:space="preserve">____________ /__________/</w:t>
                </w:r>
                <w:r>
                  <w:rPr>
                    <w:rFonts w:ascii="Arial" w:hAnsi="Arial" w:cs="Arial"/>
                    <w:bCs/>
                    <w:lang w:val="en-US"/>
                  </w:rPr>
                  <w:t xml:space="preserve">&gt;</w:t>
                </w:r>
                <w:r>
                  <w:rPr>
                    <w:rFonts w:ascii="Arial" w:hAnsi="Arial" w:cs="Arial"/>
                  </w:rPr>
                </w:r>
                <w:r/>
              </w:p>
            </w:tc>
          </w:tr>
        </w:tbl>
        <w:p>
          <w:pPr>
            <w:ind w:right="-143"/>
            <w:jc w:val="center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p>
          <w:pPr>
            <w:ind w:right="-143"/>
            <w:jc w:val="center"/>
          </w:pPr>
          <w:r>
            <w:rPr>
              <w:rFonts w:ascii="Arial" w:hAnsi="Arial" w:cs="Arial"/>
              <w:b/>
              <w:sz w:val="22"/>
              <w:szCs w:val="22"/>
              <w:lang w:val="ru-RU"/>
            </w:rPr>
            <w:t xml:space="preserve">ФОРМА СОГЛАСОВАНА</w:t>
          </w:r>
          <w:r>
            <w:rPr>
              <w:rFonts w:ascii="Arial" w:hAnsi="Arial" w:cs="Arial"/>
              <w:b/>
              <w:sz w:val="22"/>
              <w:szCs w:val="22"/>
              <w:lang w:val="ru-RU"/>
            </w:rPr>
          </w:r>
          <w:r/>
        </w:p>
        <w:tbl>
          <w:tblPr>
            <w:tblStyle w:val="680"/>
            <w:tblW w:w="0" w:type="auto"/>
            <w:tbl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insideH w:val="none" w:color="000000" w:sz="0" w:space="0"/>
              <w:insideV w:val="none" w:color="000000" w:sz="0" w:space="0"/>
            </w:tblBorders>
            <w:tblLook w:val="04A0" w:firstRow="1" w:lastRow="0" w:firstColumn="1" w:lastColumn="0" w:noHBand="0" w:noVBand="1"/>
          </w:tblPr>
          <w:tblGrid>
            <w:gridCol w:w="7281"/>
            <w:gridCol w:w="7281"/>
          </w:tblGrid>
          <w:tr>
            <w:trPr/>
            <w:tc>
              <w:tcPr>
                <w:tcW w:w="7281" w:type="dxa"/>
                <w:textDirection w:val="lrTb"/>
                <w:noWrap w:val="false"/>
              </w:tcPr>
              <w:p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От Покупателя</w:t>
                </w:r>
                <w:r>
                  <w:rPr>
                    <w:rFonts w:ascii="Arial" w:hAnsi="Arial" w:cs="Arial"/>
                  </w:rPr>
                </w:r>
                <w:r/>
              </w:p>
              <w:sdt>
                <w:sdtPr>
                  <w15:appearance w15:val="boundingBox"/>
                  <w:id w:val="-1006430925"/>
                  <w:placeholder>
                    <w:docPart w:val="bb9fb42058a5415fbd7397a1dd51d510"/>
                  </w:placeholder>
                  <w:rPr/>
                </w:sdtPr>
                <w:sdtContent>
                  <w:p>
                    <w:pPr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Cs/>
                        <w:highlight w:val="lightGray"/>
                        <w:lang w:val="ru-RU"/>
                      </w:rPr>
                      <w:t xml:space="preserve">____________ /__________/</w:t>
                    </w:r>
                    <w:r>
                      <w:rPr>
                        <w:rFonts w:ascii="Arial" w:hAnsi="Arial" w:cs="Arial"/>
                      </w:rPr>
                    </w:r>
                    <w:r/>
                  </w:p>
                </w:sdtContent>
              </w:sdt>
            </w:tc>
            <w:tc>
              <w:tcPr>
                <w:tcW w:w="7281" w:type="dxa"/>
                <w:textDirection w:val="lrTb"/>
                <w:noWrap w:val="false"/>
              </w:tcPr>
              <w:p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От Поставщика</w:t>
                </w:r>
                <w:r>
                  <w:rPr>
                    <w:rFonts w:ascii="Arial" w:hAnsi="Arial" w:cs="Arial"/>
                  </w:rPr>
                </w:r>
                <w:r/>
              </w:p>
              <w:sdt>
                <w:sdtPr>
                  <w15:appearance w15:val="boundingBox"/>
                  <w:id w:val="123212534"/>
                  <w:placeholder>
                    <w:docPart w:val="43efaf101747488c808e3a9c9d4e165f"/>
                  </w:placeholder>
                  <w:rPr/>
                </w:sdtPr>
                <w:sdtContent>
                  <w:p>
                    <w:pPr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Cs/>
                        <w:highlight w:val="lightGray"/>
                        <w:lang w:val="ru-RU"/>
                      </w:rPr>
                      <w:t xml:space="preserve">____________ /__________/</w:t>
                    </w:r>
                    <w:r>
                      <w:rPr>
                        <w:rFonts w:ascii="Arial" w:hAnsi="Arial" w:cs="Arial"/>
                      </w:rPr>
                    </w:r>
                    <w:r/>
                  </w:p>
                </w:sdtContent>
              </w:sdt>
            </w:tc>
          </w:tr>
        </w:tbl>
        <w:p>
          <w:pPr>
            <w:ind w:right="-143"/>
            <w:jc w:val="center"/>
          </w:pP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>
            <w:rPr>
              <w:rFonts w:ascii="Arial" w:hAnsi="Arial" w:cs="Arial"/>
              <w:bCs/>
              <w:sz w:val="22"/>
              <w:szCs w:val="22"/>
              <w:lang w:val="ru-RU"/>
            </w:rPr>
          </w:r>
          <w:r/>
        </w:p>
      </w:sdtContent>
    </w:sdt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suff w:val="tab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1494" w:hanging="720"/>
      </w:pPr>
      <w:rPr>
        <w:rFonts w:hint="default"/>
        <w:b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866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2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8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24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24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24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24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24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4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4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4"/>
        <w:ind w:left="2520" w:hanging="2160"/>
      </w:pPr>
      <w:rPr>
        <w:b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24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24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24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24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24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4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4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4"/>
        <w:ind w:left="2520" w:hanging="2160"/>
      </w:pPr>
      <w:rPr>
        <w:b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24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24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24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24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24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4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4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4"/>
        <w:ind w:left="2520" w:hanging="21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4"/>
    <w:next w:val="824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0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4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No Spacing"/>
    <w:basedOn w:val="824"/>
    <w:uiPriority w:val="1"/>
    <w:qFormat/>
    <w:pPr>
      <w:spacing w:after="0" w:line="240" w:lineRule="auto"/>
    </w:pPr>
  </w:style>
  <w:style w:type="paragraph" w:styleId="828">
    <w:name w:val="List Paragraph"/>
    <w:basedOn w:val="824"/>
    <w:uiPriority w:val="34"/>
    <w:qFormat/>
    <w:pPr>
      <w:contextualSpacing/>
      <w:ind w:left="720"/>
    </w:pPr>
  </w:style>
  <w:style w:type="character" w:styleId="829" w:default="1">
    <w:name w:val="Default Paragraph Font"/>
    <w:uiPriority w:val="1"/>
    <w:semiHidden/>
    <w:unhideWhenUsed/>
  </w:style>
  <w:style w:type="paragraph" w:styleId="830" w:customStyle="1">
    <w:name w:val="Body Text Indent 2"/>
    <w:pPr>
      <w:contextualSpacing w:val="0"/>
      <w:ind w:left="0" w:right="-143" w:firstLine="720"/>
      <w:jc w:val="both"/>
      <w:keepLines w:val="0"/>
      <w:keepNext w:val="0"/>
      <w:pageBreakBefore w:val="0"/>
      <w:spacing w:before="0" w:beforeAutospacing="0" w:after="0" w:afterAutospacing="0" w:line="16" w:lineRule="atLeas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1" w:customStyle="1">
    <w:name w:val="Body Text Indent 3"/>
    <w:pPr>
      <w:contextualSpacing w:val="0"/>
      <w:ind w:left="0" w:right="-143" w:firstLine="284"/>
      <w:jc w:val="both"/>
      <w:keepLines w:val="0"/>
      <w:keepNext w:val="0"/>
      <w:pageBreakBefore w:val="0"/>
      <w:spacing w:before="0" w:beforeAutospacing="0" w:after="0" w:afterAutospacing="0" w:line="16" w:lineRule="atLeast"/>
      <w:shd w:val="nil" w:color="000000"/>
      <w:widowControl/>
      <w:tabs>
        <w:tab w:val="left" w:pos="-2127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2" w:customStyle="1">
    <w:name w:val="Body Text Indent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3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9b58b5cd5c0414abc4b64e846eb8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63e25aa2233443abca81ace589e1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c082c48e1ae44e18f5ec6ceca0f5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b88892a3e4840ff932b177c904dd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cd705d943a94a30a3532458ce36a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c532d81dbed4f609f4f656e5fe9d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5bc94d368b646598d6e438daaae1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1e4cf0cce5e45eaaffaa6febbb8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21b3736c4a2461d95d4fb6148bf5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5215e23e43b4009b4b374f074b91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a6d500eaa6746988ec1a2315ba1f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bce9a2f66564964972f52c7ffa68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e114b62fb134ded83db120e1a2ac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0bb9c1811a443ff9bd388aeeee01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94db8aed3584d3aa92812a0d9bc2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69a7e2c875f48188ca4773207090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73bb74003c34368a1bde2d93e66d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3073ff566b64768bca738434a2d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5ac08be7ec24c0facb344070ef05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68381b3ad93446a96121af21b6bc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d073409c86743f8adde06e6c3574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7f4957948734a21bf2d28f8c752b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66a192ecefa46f4a95038ef208f7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74a873fc4c14a5686ae216ae820a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7f597a630924df6aa2dbce533574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e04b553d9bf4736a1e7d694416b2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5d0f4d5fdf94429b8f8d8803a721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db40a02345e45acabfe799beda7b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22a584ae6e441f9ab802f858f324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54255ea30f24cc69e0be9f77de2a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add3dd2674947de9a2d45e1cd305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b900ee67a8f4e028da459a3ed23b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509ee7f8da04b6f9a0d41fd6b6ae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9b7f2e7a5504b12b7ba48a96c5ba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d5afde3d8244a82bcd4f95fb738d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ee496c1c5444a23ada10d54c4e5d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a6a37f4b73e4a3a824ec9af28064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61c033546d14a17bd0cf87c7cab4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09fe7392cde46fa9cb19a2d09582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b9fb42058a5415fbd7397a1dd51d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3efaf101747488c808e3a9c9d4e1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48" w:default="1">
    <w:name w:val="Normal"/>
    <w:qFormat/>
  </w:style>
  <w:style w:type="character" w:styleId="1249" w:default="1">
    <w:name w:val="Default Paragraph Font"/>
    <w:uiPriority w:val="1"/>
    <w:semiHidden/>
    <w:unhideWhenUsed/>
  </w:style>
  <w:style w:type="numbering" w:styleId="1250" w:default="1">
    <w:name w:val="No List"/>
    <w:uiPriority w:val="99"/>
    <w:semiHidden/>
    <w:unhideWhenUsed/>
  </w:style>
  <w:style w:type="paragraph" w:styleId="1251">
    <w:name w:val="Heading 1"/>
    <w:basedOn w:val="1248"/>
    <w:next w:val="1248"/>
    <w:link w:val="12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252">
    <w:name w:val="Heading 1 Char"/>
    <w:basedOn w:val="1249"/>
    <w:link w:val="1251"/>
    <w:uiPriority w:val="9"/>
    <w:rPr>
      <w:rFonts w:ascii="Arial" w:hAnsi="Arial" w:eastAsia="Arial" w:cs="Arial"/>
      <w:sz w:val="40"/>
      <w:szCs w:val="40"/>
    </w:rPr>
  </w:style>
  <w:style w:type="paragraph" w:styleId="1253">
    <w:name w:val="Heading 2"/>
    <w:basedOn w:val="1248"/>
    <w:next w:val="1248"/>
    <w:link w:val="12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254">
    <w:name w:val="Heading 2 Char"/>
    <w:basedOn w:val="1249"/>
    <w:link w:val="1253"/>
    <w:uiPriority w:val="9"/>
    <w:rPr>
      <w:rFonts w:ascii="Arial" w:hAnsi="Arial" w:eastAsia="Arial" w:cs="Arial"/>
      <w:sz w:val="34"/>
    </w:rPr>
  </w:style>
  <w:style w:type="paragraph" w:styleId="1255">
    <w:name w:val="Heading 3"/>
    <w:basedOn w:val="1248"/>
    <w:next w:val="1248"/>
    <w:link w:val="12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256">
    <w:name w:val="Heading 3 Char"/>
    <w:basedOn w:val="1249"/>
    <w:link w:val="1255"/>
    <w:uiPriority w:val="9"/>
    <w:rPr>
      <w:rFonts w:ascii="Arial" w:hAnsi="Arial" w:eastAsia="Arial" w:cs="Arial"/>
      <w:sz w:val="30"/>
      <w:szCs w:val="30"/>
    </w:rPr>
  </w:style>
  <w:style w:type="paragraph" w:styleId="1257">
    <w:name w:val="Heading 4"/>
    <w:basedOn w:val="1248"/>
    <w:next w:val="1248"/>
    <w:link w:val="12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258">
    <w:name w:val="Heading 4 Char"/>
    <w:basedOn w:val="1249"/>
    <w:link w:val="1257"/>
    <w:uiPriority w:val="9"/>
    <w:rPr>
      <w:rFonts w:ascii="Arial" w:hAnsi="Arial" w:eastAsia="Arial" w:cs="Arial"/>
      <w:b/>
      <w:bCs/>
      <w:sz w:val="26"/>
      <w:szCs w:val="26"/>
    </w:rPr>
  </w:style>
  <w:style w:type="paragraph" w:styleId="1259">
    <w:name w:val="Heading 5"/>
    <w:basedOn w:val="1248"/>
    <w:next w:val="1248"/>
    <w:link w:val="12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260">
    <w:name w:val="Heading 5 Char"/>
    <w:basedOn w:val="1249"/>
    <w:link w:val="1259"/>
    <w:uiPriority w:val="9"/>
    <w:rPr>
      <w:rFonts w:ascii="Arial" w:hAnsi="Arial" w:eastAsia="Arial" w:cs="Arial"/>
      <w:b/>
      <w:bCs/>
      <w:sz w:val="24"/>
      <w:szCs w:val="24"/>
    </w:rPr>
  </w:style>
  <w:style w:type="paragraph" w:styleId="1261">
    <w:name w:val="Heading 6"/>
    <w:basedOn w:val="1248"/>
    <w:next w:val="1248"/>
    <w:link w:val="12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262">
    <w:name w:val="Heading 6 Char"/>
    <w:basedOn w:val="1249"/>
    <w:link w:val="1261"/>
    <w:uiPriority w:val="9"/>
    <w:rPr>
      <w:rFonts w:ascii="Arial" w:hAnsi="Arial" w:eastAsia="Arial" w:cs="Arial"/>
      <w:b/>
      <w:bCs/>
      <w:sz w:val="22"/>
      <w:szCs w:val="22"/>
    </w:rPr>
  </w:style>
  <w:style w:type="paragraph" w:styleId="1263">
    <w:name w:val="Heading 7"/>
    <w:basedOn w:val="1248"/>
    <w:next w:val="1248"/>
    <w:link w:val="12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264">
    <w:name w:val="Heading 7 Char"/>
    <w:basedOn w:val="1249"/>
    <w:link w:val="12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265">
    <w:name w:val="Heading 8"/>
    <w:basedOn w:val="1248"/>
    <w:next w:val="1248"/>
    <w:link w:val="12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266">
    <w:name w:val="Heading 8 Char"/>
    <w:basedOn w:val="1249"/>
    <w:link w:val="1265"/>
    <w:uiPriority w:val="9"/>
    <w:rPr>
      <w:rFonts w:ascii="Arial" w:hAnsi="Arial" w:eastAsia="Arial" w:cs="Arial"/>
      <w:i/>
      <w:iCs/>
      <w:sz w:val="22"/>
      <w:szCs w:val="22"/>
    </w:rPr>
  </w:style>
  <w:style w:type="paragraph" w:styleId="1267">
    <w:name w:val="Heading 9"/>
    <w:basedOn w:val="1248"/>
    <w:next w:val="1248"/>
    <w:link w:val="12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268">
    <w:name w:val="Heading 9 Char"/>
    <w:basedOn w:val="1249"/>
    <w:link w:val="1267"/>
    <w:uiPriority w:val="9"/>
    <w:rPr>
      <w:rFonts w:ascii="Arial" w:hAnsi="Arial" w:eastAsia="Arial" w:cs="Arial"/>
      <w:i/>
      <w:iCs/>
      <w:sz w:val="21"/>
      <w:szCs w:val="21"/>
    </w:rPr>
  </w:style>
  <w:style w:type="paragraph" w:styleId="1269">
    <w:name w:val="List Paragraph"/>
    <w:basedOn w:val="1248"/>
    <w:uiPriority w:val="34"/>
    <w:qFormat/>
    <w:pPr>
      <w:contextualSpacing/>
      <w:ind w:left="720"/>
    </w:pPr>
  </w:style>
  <w:style w:type="table" w:styleId="12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271">
    <w:name w:val="No Spacing"/>
    <w:uiPriority w:val="1"/>
    <w:qFormat/>
    <w:pPr>
      <w:spacing w:before="0" w:after="0" w:line="240" w:lineRule="auto"/>
    </w:pPr>
  </w:style>
  <w:style w:type="paragraph" w:styleId="1272">
    <w:name w:val="Title"/>
    <w:basedOn w:val="1248"/>
    <w:next w:val="1248"/>
    <w:link w:val="12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273">
    <w:name w:val="Title Char"/>
    <w:basedOn w:val="1249"/>
    <w:link w:val="1272"/>
    <w:uiPriority w:val="10"/>
    <w:rPr>
      <w:sz w:val="48"/>
      <w:szCs w:val="48"/>
    </w:rPr>
  </w:style>
  <w:style w:type="paragraph" w:styleId="1274">
    <w:name w:val="Subtitle"/>
    <w:basedOn w:val="1248"/>
    <w:next w:val="1248"/>
    <w:link w:val="1275"/>
    <w:uiPriority w:val="11"/>
    <w:qFormat/>
    <w:pPr>
      <w:spacing w:before="200" w:after="200"/>
    </w:pPr>
    <w:rPr>
      <w:sz w:val="24"/>
      <w:szCs w:val="24"/>
    </w:rPr>
  </w:style>
  <w:style w:type="character" w:styleId="1275">
    <w:name w:val="Subtitle Char"/>
    <w:basedOn w:val="1249"/>
    <w:link w:val="1274"/>
    <w:uiPriority w:val="11"/>
    <w:rPr>
      <w:sz w:val="24"/>
      <w:szCs w:val="24"/>
    </w:rPr>
  </w:style>
  <w:style w:type="paragraph" w:styleId="1276">
    <w:name w:val="Quote"/>
    <w:basedOn w:val="1248"/>
    <w:next w:val="1248"/>
    <w:link w:val="1277"/>
    <w:uiPriority w:val="29"/>
    <w:qFormat/>
    <w:pPr>
      <w:ind w:left="720" w:right="720"/>
    </w:pPr>
    <w:rPr>
      <w:i/>
    </w:rPr>
  </w:style>
  <w:style w:type="character" w:styleId="1277">
    <w:name w:val="Quote Char"/>
    <w:link w:val="1276"/>
    <w:uiPriority w:val="29"/>
    <w:rPr>
      <w:i/>
    </w:rPr>
  </w:style>
  <w:style w:type="paragraph" w:styleId="1278">
    <w:name w:val="Intense Quote"/>
    <w:basedOn w:val="1248"/>
    <w:next w:val="1248"/>
    <w:link w:val="12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279">
    <w:name w:val="Intense Quote Char"/>
    <w:link w:val="1278"/>
    <w:uiPriority w:val="30"/>
    <w:rPr>
      <w:i/>
    </w:rPr>
  </w:style>
  <w:style w:type="paragraph" w:styleId="1280">
    <w:name w:val="Header"/>
    <w:basedOn w:val="1248"/>
    <w:link w:val="12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281">
    <w:name w:val="Header Char"/>
    <w:basedOn w:val="1249"/>
    <w:link w:val="1280"/>
    <w:uiPriority w:val="99"/>
  </w:style>
  <w:style w:type="paragraph" w:styleId="1282">
    <w:name w:val="Footer"/>
    <w:basedOn w:val="1248"/>
    <w:link w:val="12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283">
    <w:name w:val="Footer Char"/>
    <w:basedOn w:val="1249"/>
    <w:link w:val="1282"/>
    <w:uiPriority w:val="99"/>
  </w:style>
  <w:style w:type="paragraph" w:styleId="1284">
    <w:name w:val="Caption"/>
    <w:basedOn w:val="1248"/>
    <w:next w:val="12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285">
    <w:name w:val="Caption Char"/>
    <w:basedOn w:val="1284"/>
    <w:link w:val="1282"/>
    <w:uiPriority w:val="99"/>
  </w:style>
  <w:style w:type="table" w:styleId="1286">
    <w:name w:val="Table Grid"/>
    <w:basedOn w:val="127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87">
    <w:name w:val="Table Grid Light"/>
    <w:basedOn w:val="12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88">
    <w:name w:val="Plain Table 1"/>
    <w:basedOn w:val="12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289">
    <w:name w:val="Plain Table 2"/>
    <w:basedOn w:val="12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290">
    <w:name w:val="Plain Table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291">
    <w:name w:val="Plain Table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2">
    <w:name w:val="Plain Table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293">
    <w:name w:val="Grid Table 1 Light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4">
    <w:name w:val="Grid Table 1 Light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5">
    <w:name w:val="Grid Table 1 Light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6">
    <w:name w:val="Grid Table 1 Light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7">
    <w:name w:val="Grid Table 1 Light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8">
    <w:name w:val="Grid Table 1 Light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9">
    <w:name w:val="Grid Table 1 Light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0">
    <w:name w:val="Grid Table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1">
    <w:name w:val="Grid Table 2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2">
    <w:name w:val="Grid Table 2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3">
    <w:name w:val="Grid Table 2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4">
    <w:name w:val="Grid Table 2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5">
    <w:name w:val="Grid Table 2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6">
    <w:name w:val="Grid Table 2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7">
    <w:name w:val="Grid Table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8">
    <w:name w:val="Grid Table 3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09">
    <w:name w:val="Grid Table 3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0">
    <w:name w:val="Grid Table 3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1">
    <w:name w:val="Grid Table 3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2">
    <w:name w:val="Grid Table 3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3">
    <w:name w:val="Grid Table 3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4">
    <w:name w:val="Grid Table 4"/>
    <w:basedOn w:val="12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15">
    <w:name w:val="Grid Table 4 - Accent 1"/>
    <w:basedOn w:val="12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316">
    <w:name w:val="Grid Table 4 - Accent 2"/>
    <w:basedOn w:val="12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317">
    <w:name w:val="Grid Table 4 - Accent 3"/>
    <w:basedOn w:val="12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318">
    <w:name w:val="Grid Table 4 - Accent 4"/>
    <w:basedOn w:val="12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319">
    <w:name w:val="Grid Table 4 - Accent 5"/>
    <w:basedOn w:val="12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320">
    <w:name w:val="Grid Table 4 - Accent 6"/>
    <w:basedOn w:val="12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321">
    <w:name w:val="Grid Table 5 Dark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322">
    <w:name w:val="Grid Table 5 Dark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323">
    <w:name w:val="Grid Table 5 Dark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324">
    <w:name w:val="Grid Table 5 Dark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325">
    <w:name w:val="Grid Table 5 Dark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326">
    <w:name w:val="Grid Table 5 Dark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327">
    <w:name w:val="Grid Table 5 Dark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328">
    <w:name w:val="Grid Table 6 Colorful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329">
    <w:name w:val="Grid Table 6 Colorful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330">
    <w:name w:val="Grid Table 6 Colorful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331">
    <w:name w:val="Grid Table 6 Colorful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332">
    <w:name w:val="Grid Table 6 Colorful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333">
    <w:name w:val="Grid Table 6 Colorful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34">
    <w:name w:val="Grid Table 6 Colorful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35">
    <w:name w:val="Grid Table 7 Colorful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6">
    <w:name w:val="Grid Table 7 Colorful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7">
    <w:name w:val="Grid Table 7 Colorful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8">
    <w:name w:val="Grid Table 7 Colorful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9">
    <w:name w:val="Grid Table 7 Colorful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0">
    <w:name w:val="Grid Table 7 Colorful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1">
    <w:name w:val="Grid Table 7 Colorful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2">
    <w:name w:val="List Table 1 Light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3">
    <w:name w:val="List Table 1 Light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4">
    <w:name w:val="List Table 1 Light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5">
    <w:name w:val="List Table 1 Light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6">
    <w:name w:val="List Table 1 Light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7">
    <w:name w:val="List Table 1 Light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8">
    <w:name w:val="List Table 1 Light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9">
    <w:name w:val="List Table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350">
    <w:name w:val="List Table 2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351">
    <w:name w:val="List Table 2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352">
    <w:name w:val="List Table 2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353">
    <w:name w:val="List Table 2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354">
    <w:name w:val="List Table 2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355">
    <w:name w:val="List Table 2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356">
    <w:name w:val="List Table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7">
    <w:name w:val="List Table 3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8">
    <w:name w:val="List Table 3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59">
    <w:name w:val="List Table 3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0">
    <w:name w:val="List Table 3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1">
    <w:name w:val="List Table 3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2">
    <w:name w:val="List Table 3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3">
    <w:name w:val="List Table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4">
    <w:name w:val="List Table 4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5">
    <w:name w:val="List Table 4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6">
    <w:name w:val="List Table 4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7">
    <w:name w:val="List Table 4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8">
    <w:name w:val="List Table 4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9">
    <w:name w:val="List Table 4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0">
    <w:name w:val="List Table 5 Dark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1">
    <w:name w:val="List Table 5 Dark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2">
    <w:name w:val="List Table 5 Dark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3">
    <w:name w:val="List Table 5 Dark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4">
    <w:name w:val="List Table 5 Dark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5">
    <w:name w:val="List Table 5 Dark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6">
    <w:name w:val="List Table 5 Dark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7">
    <w:name w:val="List Table 6 Colorful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78">
    <w:name w:val="List Table 6 Colorful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79">
    <w:name w:val="List Table 6 Colorful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380">
    <w:name w:val="List Table 6 Colorful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381">
    <w:name w:val="List Table 6 Colorful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382">
    <w:name w:val="List Table 6 Colorful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383">
    <w:name w:val="List Table 6 Colorful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384">
    <w:name w:val="List Table 7 Colorful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385">
    <w:name w:val="List Table 7 Colorful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386">
    <w:name w:val="List Table 7 Colorful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387">
    <w:name w:val="List Table 7 Colorful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388">
    <w:name w:val="List Table 7 Colorful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389">
    <w:name w:val="List Table 7 Colorful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390">
    <w:name w:val="List Table 7 Colorful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391">
    <w:name w:val="Lined - Accent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392">
    <w:name w:val="Lined - Accent 1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393">
    <w:name w:val="Lined - Accent 2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394">
    <w:name w:val="Lined - Accent 3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395">
    <w:name w:val="Lined - Accent 4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396">
    <w:name w:val="Lined - Accent 5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397">
    <w:name w:val="Lined - Accent 6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398">
    <w:name w:val="Bordered &amp; Lined - Accent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399">
    <w:name w:val="Bordered &amp; Lined - Accent 1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00">
    <w:name w:val="Bordered &amp; Lined - Accent 2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01">
    <w:name w:val="Bordered &amp; Lined - Accent 3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02">
    <w:name w:val="Bordered &amp; Lined - Accent 4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03">
    <w:name w:val="Bordered &amp; Lined - Accent 5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04">
    <w:name w:val="Bordered &amp; Lined - Accent 6"/>
    <w:basedOn w:val="12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05">
    <w:name w:val="Bordered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06">
    <w:name w:val="Bordered - Accent 1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07">
    <w:name w:val="Bordered - Accent 2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08">
    <w:name w:val="Bordered - Accent 3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09">
    <w:name w:val="Bordered - Accent 4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10">
    <w:name w:val="Bordered - Accent 5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11">
    <w:name w:val="Bordered - Accent 6"/>
    <w:basedOn w:val="12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12">
    <w:name w:val="Hyperlink"/>
    <w:uiPriority w:val="99"/>
    <w:unhideWhenUsed/>
    <w:rPr>
      <w:color w:val="0000ff" w:themeColor="hyperlink"/>
      <w:u w:val="single"/>
    </w:rPr>
  </w:style>
  <w:style w:type="paragraph" w:styleId="1413">
    <w:name w:val="footnote text"/>
    <w:basedOn w:val="1248"/>
    <w:link w:val="1414"/>
    <w:uiPriority w:val="99"/>
    <w:semiHidden/>
    <w:unhideWhenUsed/>
    <w:pPr>
      <w:spacing w:after="40" w:line="240" w:lineRule="auto"/>
    </w:pPr>
    <w:rPr>
      <w:sz w:val="18"/>
    </w:rPr>
  </w:style>
  <w:style w:type="character" w:styleId="1414">
    <w:name w:val="Footnote Text Char"/>
    <w:link w:val="1413"/>
    <w:uiPriority w:val="99"/>
    <w:rPr>
      <w:sz w:val="18"/>
    </w:rPr>
  </w:style>
  <w:style w:type="character" w:styleId="1415">
    <w:name w:val="footnote reference"/>
    <w:basedOn w:val="1249"/>
    <w:uiPriority w:val="99"/>
    <w:unhideWhenUsed/>
    <w:rPr>
      <w:vertAlign w:val="superscript"/>
    </w:rPr>
  </w:style>
  <w:style w:type="paragraph" w:styleId="1416">
    <w:name w:val="endnote text"/>
    <w:basedOn w:val="1248"/>
    <w:link w:val="1417"/>
    <w:uiPriority w:val="99"/>
    <w:semiHidden/>
    <w:unhideWhenUsed/>
    <w:pPr>
      <w:spacing w:after="0" w:line="240" w:lineRule="auto"/>
    </w:pPr>
    <w:rPr>
      <w:sz w:val="20"/>
    </w:rPr>
  </w:style>
  <w:style w:type="character" w:styleId="1417">
    <w:name w:val="Endnote Text Char"/>
    <w:link w:val="1416"/>
    <w:uiPriority w:val="99"/>
    <w:rPr>
      <w:sz w:val="20"/>
    </w:rPr>
  </w:style>
  <w:style w:type="character" w:styleId="1418">
    <w:name w:val="endnote reference"/>
    <w:basedOn w:val="1249"/>
    <w:uiPriority w:val="99"/>
    <w:semiHidden/>
    <w:unhideWhenUsed/>
    <w:rPr>
      <w:vertAlign w:val="superscript"/>
    </w:rPr>
  </w:style>
  <w:style w:type="paragraph" w:styleId="1419">
    <w:name w:val="toc 1"/>
    <w:basedOn w:val="1248"/>
    <w:next w:val="1248"/>
    <w:uiPriority w:val="39"/>
    <w:unhideWhenUsed/>
    <w:pPr>
      <w:ind w:left="0" w:right="0" w:firstLine="0"/>
      <w:spacing w:after="57"/>
    </w:pPr>
  </w:style>
  <w:style w:type="paragraph" w:styleId="1420">
    <w:name w:val="toc 2"/>
    <w:basedOn w:val="1248"/>
    <w:next w:val="1248"/>
    <w:uiPriority w:val="39"/>
    <w:unhideWhenUsed/>
    <w:pPr>
      <w:ind w:left="283" w:right="0" w:firstLine="0"/>
      <w:spacing w:after="57"/>
    </w:pPr>
  </w:style>
  <w:style w:type="paragraph" w:styleId="1421">
    <w:name w:val="toc 3"/>
    <w:basedOn w:val="1248"/>
    <w:next w:val="1248"/>
    <w:uiPriority w:val="39"/>
    <w:unhideWhenUsed/>
    <w:pPr>
      <w:ind w:left="567" w:right="0" w:firstLine="0"/>
      <w:spacing w:after="57"/>
    </w:pPr>
  </w:style>
  <w:style w:type="paragraph" w:styleId="1422">
    <w:name w:val="toc 4"/>
    <w:basedOn w:val="1248"/>
    <w:next w:val="1248"/>
    <w:uiPriority w:val="39"/>
    <w:unhideWhenUsed/>
    <w:pPr>
      <w:ind w:left="850" w:right="0" w:firstLine="0"/>
      <w:spacing w:after="57"/>
    </w:pPr>
  </w:style>
  <w:style w:type="paragraph" w:styleId="1423">
    <w:name w:val="toc 5"/>
    <w:basedOn w:val="1248"/>
    <w:next w:val="1248"/>
    <w:uiPriority w:val="39"/>
    <w:unhideWhenUsed/>
    <w:pPr>
      <w:ind w:left="1134" w:right="0" w:firstLine="0"/>
      <w:spacing w:after="57"/>
    </w:pPr>
  </w:style>
  <w:style w:type="paragraph" w:styleId="1424">
    <w:name w:val="toc 6"/>
    <w:basedOn w:val="1248"/>
    <w:next w:val="1248"/>
    <w:uiPriority w:val="39"/>
    <w:unhideWhenUsed/>
    <w:pPr>
      <w:ind w:left="1417" w:right="0" w:firstLine="0"/>
      <w:spacing w:after="57"/>
    </w:pPr>
  </w:style>
  <w:style w:type="paragraph" w:styleId="1425">
    <w:name w:val="toc 7"/>
    <w:basedOn w:val="1248"/>
    <w:next w:val="1248"/>
    <w:uiPriority w:val="39"/>
    <w:unhideWhenUsed/>
    <w:pPr>
      <w:ind w:left="1701" w:right="0" w:firstLine="0"/>
      <w:spacing w:after="57"/>
    </w:pPr>
  </w:style>
  <w:style w:type="paragraph" w:styleId="1426">
    <w:name w:val="toc 8"/>
    <w:basedOn w:val="1248"/>
    <w:next w:val="1248"/>
    <w:uiPriority w:val="39"/>
    <w:unhideWhenUsed/>
    <w:pPr>
      <w:ind w:left="1984" w:right="0" w:firstLine="0"/>
      <w:spacing w:after="57"/>
    </w:pPr>
  </w:style>
  <w:style w:type="paragraph" w:styleId="1427">
    <w:name w:val="toc 9"/>
    <w:basedOn w:val="1248"/>
    <w:next w:val="1248"/>
    <w:uiPriority w:val="39"/>
    <w:unhideWhenUsed/>
    <w:pPr>
      <w:ind w:left="2268" w:right="0" w:firstLine="0"/>
      <w:spacing w:after="57"/>
    </w:pPr>
  </w:style>
  <w:style w:type="paragraph" w:styleId="1428">
    <w:name w:val="TOC Heading"/>
    <w:uiPriority w:val="39"/>
    <w:unhideWhenUsed/>
  </w:style>
  <w:style w:type="paragraph" w:styleId="1429">
    <w:name w:val="table of figures"/>
    <w:basedOn w:val="1248"/>
    <w:next w:val="1248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2023-08-08T09:00:50Z</dcterms:modified>
</cp:coreProperties>
</file>